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Why surgical trials fail, and what each target trial emulation answers instead: a known-truth simulation of early peripheral vascular intervention for claudication</w:t>
      </w:r>
    </w:p>
    <w:p>
      <w:pPr>
        <w:pStyle w:val="BodyText"/>
      </w:pPr>
      <w:r>
        <w:rPr>
          <w:i/>
          <w:iCs/>
        </w:rPr>
        <w:t xml:space="preserve">Use case: PVI within 6 months of a new claudication diagnosis, compared with initial conservative management; Medicare-like claims; 5-year major adverse limb events (MALE)</w:t>
      </w:r>
    </w:p>
    <w:p>
      <w:pPr>
        <w:pStyle w:val="BodyText"/>
      </w:pPr>
      <w:r>
        <w:t xml:space="preserve">Analysis plan, draft v1.0, 2026-10-27. Every decision cited as</w:t>
      </w:r>
      <w:r>
        <w:t xml:space="preserve"> </w:t>
      </w:r>
      <w:r>
        <w:t xml:space="preserve">“D#”</w:t>
      </w:r>
      <w:r>
        <w:t xml:space="preserve"> </w:t>
      </w:r>
      <w:r>
        <w:t xml:space="preserve">is recorded, with its reason, in</w:t>
      </w:r>
      <w:r>
        <w:t xml:space="preserve"> </w:t>
      </w:r>
      <w:r>
        <w:rPr>
          <w:rStyle w:val="VerbatimChar"/>
        </w:rPr>
        <w:t xml:space="preserve">docs/decisions.md</w:t>
      </w:r>
      <w:r>
        <w:t xml:space="preserve">. The readings are in</w:t>
      </w:r>
      <w:r>
        <w:t xml:space="preserve"> </w:t>
      </w:r>
      <w:r>
        <w:rPr>
          <w:rStyle w:val="VerbatimChar"/>
        </w:rPr>
        <w:t xml:space="preserve">docs/literature/</w:t>
      </w:r>
      <w:r>
        <w:t xml:space="preserve">.</w:t>
      </w:r>
    </w:p>
    <w:p>
      <w:pPr>
        <w:pStyle w:val="Heading1"/>
      </w:pPr>
      <w:bookmarkStart w:id="9" w:name="_6e4c6d819f96a627eefbf3a158c34b741e58c79"/>
      <w:r>
        <w:t xml:space="preserve">1. The paper in one paragraph</w:t>
      </w:r>
      <w:bookmarkEnd w:id="9"/>
    </w:p>
    <w:p>
      <w:pPr>
        <w:pStyle w:val="FirstParagraph"/>
      </w:pPr>
      <w:r>
        <w:t xml:space="preserve">Whether to perform peripheral vascular intervention (PVI) early for claudication is one of the most common decisions in vascular surgery. It has never been tested in a randomized trial on outcomes that matter to the limb. The trials that do exist measured walking distance and quality of life in 56–240 patients, many recruited poorly, and in their conservative arms patients crossed over to intervention. Observational studies in Medicare suggest early PVI leads to more interventions and more chronic limb-threatening ischemia (CLTI). They use different designs, though (landmark, clone–censor–weight), and those designs answer different questions. We build one simulated Medicare-like population of claudicants and their physicians in which the true effect of early PVI is known by construction. In it we switch on, one at a time, the features that make surgical trials hard:</w:t>
      </w:r>
    </w:p>
    <w:p>
      <w:pPr>
        <w:pStyle w:val="Compact"/>
        <w:numPr>
          <w:ilvl w:val="0"/>
          <w:numId w:val="1001"/>
        </w:numPr>
      </w:pPr>
      <w:r>
        <w:t xml:space="preserve">variation in surgeon skill;</w:t>
      </w:r>
    </w:p>
    <w:p>
      <w:pPr>
        <w:pStyle w:val="Compact"/>
        <w:numPr>
          <w:ilvl w:val="0"/>
          <w:numId w:val="1001"/>
        </w:numPr>
      </w:pPr>
      <w:r>
        <w:t xml:space="preserve">surgeon practice style;</w:t>
      </w:r>
    </w:p>
    <w:p>
      <w:pPr>
        <w:pStyle w:val="Compact"/>
        <w:numPr>
          <w:ilvl w:val="0"/>
          <w:numId w:val="1001"/>
        </w:numPr>
      </w:pPr>
      <w:r>
        <w:t xml:space="preserve">surgeons who also decide the outcome (reintervention, CLTI coding);</w:t>
      </w:r>
    </w:p>
    <w:p>
      <w:pPr>
        <w:pStyle w:val="Compact"/>
        <w:numPr>
          <w:ilvl w:val="0"/>
          <w:numId w:val="1001"/>
        </w:numPr>
      </w:pPr>
      <w:r>
        <w:t xml:space="preserve">symptom-driven deferral and crossover;</w:t>
      </w:r>
    </w:p>
    <w:p>
      <w:pPr>
        <w:pStyle w:val="Compact"/>
        <w:numPr>
          <w:ilvl w:val="0"/>
          <w:numId w:val="1001"/>
        </w:numPr>
      </w:pPr>
      <w:r>
        <w:t xml:space="preserve">unmeasured symptom severity.</w:t>
      </w:r>
    </w:p>
    <w:p>
      <w:pPr>
        <w:pStyle w:val="FirstParagraph"/>
      </w:pPr>
      <w:r>
        <w:t xml:space="preserve">We then run naive, landmark, sequential-trial and clone–censor–weight (CCW) analyses, with four ways of handling the physician, alongside the RCT that could realistically be run. Each method is scored against the question it actually answers and against the question a surgeon is asking. We also test whether negative controls can tell when the answer is wrong.</w:t>
      </w:r>
    </w:p>
    <w:p>
      <w:pPr>
        <w:pStyle w:val="Heading1"/>
      </w:pPr>
      <w:bookmarkStart w:id="10" w:name="_29eaab4209933be2d926ae9db22a65a9ecc7f12"/>
      <w:r>
        <w:t xml:space="preserve">2. The gap</w:t>
      </w:r>
      <w:bookmarkEnd w:id="10"/>
    </w:p>
    <w:p>
      <w:pPr>
        <w:pStyle w:val="Heading2"/>
      </w:pPr>
      <w:bookmarkStart w:id="11" w:name="_103f07d12d722d62c068f51baefa97ecb9492b1"/>
      <w:r>
        <w:t xml:space="preserve">2.1 What is already known</w:t>
      </w:r>
      <w:bookmarkEnd w:id="11"/>
    </w:p>
    <w:p>
      <w:pPr>
        <w:pStyle w:val="FirstParagraph"/>
        <w:numPr>
          <w:ilvl w:val="0"/>
          <w:numId w:val="1002"/>
        </w:numPr>
      </w:pPr>
      <w:r>
        <w:rPr>
          <w:b/>
          <w:bCs/>
        </w:rPr>
        <w:t xml:space="preserve">Trials of claudication are small and short, and none measures hard outcomes.</w:t>
      </w:r>
      <w:r>
        <w:t xml:space="preserve"> </w:t>
      </w:r>
      <w:r>
        <w:t xml:space="preserve">CLEVER (n = 111; planned 252), ERASE (212), IRONIC (158), MIMIC (127), SUPER (240, stopped early, 29% crossover in year 1) and OBACT (56 randomized of 434 screened) all used walking or QoL endpoints. Where follow-up was long, the benefit faded by 2–5 years (ERASE, IRONIC). The Cochrane review pooled no hard limb outcomes (Fakhry 2018).</w:t>
      </w:r>
    </w:p>
    <w:p>
      <w:pPr>
        <w:pStyle w:val="FirstParagraph"/>
        <w:numPr>
          <w:ilvl w:val="0"/>
          <w:numId w:val="1002"/>
        </w:numPr>
      </w:pPr>
      <w:r>
        <w:rPr>
          <w:b/>
          <w:bCs/>
        </w:rPr>
        <w:t xml:space="preserve">Surgical RCTs fail for structural reasons.</w:t>
      </w:r>
      <w:r>
        <w:t xml:space="preserve"> </w:t>
      </w:r>
      <w:r>
        <w:t xml:space="preserve">21% of surgical RCTs stop early, mostly for poor recruitment (Chapman 2014). Surgical trials are discontinued more often than medical trials (43% vs 27%; Rosenthal 2015). Comparisons of surgery with non-surgery recruit about twice as slowly (Cook 2008). Crossover can make ITT uninterpretable (SPORT; Weinstein 2006). The intervention’s effect depends on the operator (Birkmeyer 2013), and trial surgeons are selected (Rothwell 2005; Cutteridge 2025).</w:t>
      </w:r>
    </w:p>
    <w:p>
      <w:pPr>
        <w:pStyle w:val="FirstParagraph"/>
        <w:numPr>
          <w:ilvl w:val="0"/>
          <w:numId w:val="1002"/>
        </w:numPr>
      </w:pPr>
      <w:r>
        <w:rPr>
          <w:b/>
          <w:bCs/>
        </w:rPr>
        <w:t xml:space="preserve">In timing trials, the</w:t>
      </w:r>
      <w:r>
        <w:rPr>
          <w:b/>
          <w:bCs/>
        </w:rPr>
        <w:t xml:space="preserve"> </w:t>
      </w:r>
      <w:r>
        <w:rPr>
          <w:b/>
          <w:bCs/>
        </w:rPr>
        <w:t xml:space="preserve">“conservative”</w:t>
      </w:r>
      <w:r>
        <w:rPr>
          <w:b/>
          <w:bCs/>
        </w:rPr>
        <w:t xml:space="preserve"> </w:t>
      </w:r>
      <w:r>
        <w:rPr>
          <w:b/>
          <w:bCs/>
        </w:rPr>
        <w:t xml:space="preserve">arm becomes delayed surgery.</w:t>
      </w:r>
      <w:r>
        <w:t xml:space="preserve"> </w:t>
      </w:r>
      <w:r>
        <w:t xml:space="preserve">Examples: hernia watchful waiting reached 68% crossover in the long term (Fitzgibbons 2013); 62% of the ADAM surveillance arm were repaired (Lederle 2002); 85% of CAESAR by 54 months (Cao 2011).</w:t>
      </w:r>
    </w:p>
    <w:p>
      <w:pPr>
        <w:pStyle w:val="FirstParagraph"/>
        <w:numPr>
          <w:ilvl w:val="0"/>
          <w:numId w:val="1002"/>
        </w:numPr>
      </w:pPr>
      <w:r>
        <w:rPr>
          <w:b/>
          <w:bCs/>
        </w:rPr>
        <w:t xml:space="preserve">Medicare evidence on early PVI.</w:t>
      </w:r>
      <w:r>
        <w:t xml:space="preserve"> </w:t>
      </w:r>
      <w:r>
        <w:t xml:space="preserve">3.2% of new claudicants have early PVI. The median physician rate is 0%, and 5.6% of physicians are outliers (Hicks 2020). Early PVI is associated with late PVI (22.5% vs 3.6%; aHR 6.89) and with CLTI (16.4% vs 7.8%) (Sorber 2023). A CCW emulation found more CLTI and MALE (Dun, VESS 2026). The Sorber design is in effect a 6-month landmark analysis.</w:t>
      </w:r>
    </w:p>
    <w:p>
      <w:pPr>
        <w:pStyle w:val="FirstParagraph"/>
        <w:numPr>
          <w:ilvl w:val="0"/>
          <w:numId w:val="1002"/>
        </w:numPr>
      </w:pPr>
      <w:r>
        <w:rPr>
          <w:b/>
          <w:bCs/>
        </w:rPr>
        <w:t xml:space="preserve">Methods.</w:t>
      </w:r>
      <w:r>
        <w:t xml:space="preserve"> </w:t>
      </w:r>
      <w:r>
        <w:t xml:space="preserve">Immortal time (Suissa 2008), landmark (Anderson 1983; Dafni 2011), CCW (Hernán 2018; Maringe 2020; grace periods: Wanis 2024) and sequential trials (Hernán 2008; Keogh 2023) are each well described. Duchesneau 2022 compared landmark and CCW against a plasmode truth in cancer surgery. Unmeasured confounding at the cluster level has been studied outside TTE (Li 2020; Cafri 2020). So has bias amplification from conditioning on an instrument (Myers 2011).</w:t>
      </w:r>
    </w:p>
    <w:p>
      <w:pPr>
        <w:pStyle w:val="Heading2"/>
      </w:pPr>
      <w:bookmarkStart w:id="12" w:name="_c8191f7a84f69b172460ca26d97549fbd44475a"/>
      <w:r>
        <w:t xml:space="preserve">2.2 The gap this paper fills</w:t>
      </w:r>
      <w:bookmarkEnd w:id="12"/>
    </w:p>
    <w:p>
      <w:pPr>
        <w:pStyle w:val="FirstParagraph"/>
      </w:pPr>
      <w:r>
        <w:rPr>
          <w:b/>
          <w:bCs/>
        </w:rPr>
        <w:t xml:space="preserve">No study has put landmark, sequential-trial and CCW analyses of one surgical timing question side by side, each scored against its own true estimand, in a world where the surgeon drives treatment, modifies its effect, and partly decides the outcome. The study should also run alongside the RCT that could realistically be done.</w:t>
      </w:r>
      <w:r>
        <w:t xml:space="preserve"> </w:t>
      </w:r>
      <w:r>
        <w:t xml:space="preserve">So surgeons reading a Medicare TTE cannot tell:</w:t>
      </w:r>
    </w:p>
    <w:p>
      <w:pPr>
        <w:pStyle w:val="Compact"/>
        <w:numPr>
          <w:ilvl w:val="0"/>
          <w:numId w:val="1003"/>
        </w:numPr>
      </w:pPr>
      <w:r>
        <w:t xml:space="preserve">which question the analysis answered;</w:t>
      </w:r>
    </w:p>
    <w:p>
      <w:pPr>
        <w:pStyle w:val="Compact"/>
        <w:numPr>
          <w:ilvl w:val="0"/>
          <w:numId w:val="1003"/>
        </w:numPr>
      </w:pPr>
      <w:r>
        <w:t xml:space="preserve">how far that is from the question they care about;</w:t>
      </w:r>
    </w:p>
    <w:p>
      <w:pPr>
        <w:pStyle w:val="Compact"/>
        <w:numPr>
          <w:ilvl w:val="0"/>
          <w:numId w:val="1003"/>
        </w:numPr>
      </w:pPr>
      <w:r>
        <w:t xml:space="preserve">which surgery-specific threats could still bias it;</w:t>
      </w:r>
    </w:p>
    <w:p>
      <w:pPr>
        <w:pStyle w:val="Compact"/>
        <w:numPr>
          <w:ilvl w:val="0"/>
          <w:numId w:val="1003"/>
        </w:numPr>
      </w:pPr>
      <w:r>
        <w:t xml:space="preserve">whether a clean negative control means anything.</w:t>
      </w:r>
    </w:p>
    <w:p>
      <w:pPr>
        <w:pStyle w:val="Heading2"/>
      </w:pPr>
      <w:bookmarkStart w:id="13" w:name="_51df269824efa2bc17090ddb8a88d7d2bb35371"/>
      <w:r>
        <w:t xml:space="preserve">2.3 Why it matters</w:t>
      </w:r>
      <w:bookmarkEnd w:id="13"/>
    </w:p>
    <w:p>
      <w:pPr>
        <w:pStyle w:val="FirstParagraph"/>
        <w:numPr>
          <w:ilvl w:val="0"/>
          <w:numId w:val="1004"/>
        </w:numPr>
      </w:pPr>
      <w:r>
        <w:t xml:space="preserve">Claudication PVI is high-volume, increasingly done in office-based labs, and varies widely between physicians (Hicks 2020; Dun 2024). The question will be answered by claims analyses, not trials.</w:t>
      </w:r>
    </w:p>
    <w:p>
      <w:pPr>
        <w:pStyle w:val="FirstParagraph"/>
        <w:numPr>
          <w:ilvl w:val="0"/>
          <w:numId w:val="1004"/>
        </w:numPr>
      </w:pPr>
      <w:r>
        <w:t xml:space="preserve">Journals now expect TTE (TARGET 2025). Readers in surgery need to know what each design estimates and where it breaks, in clinical language.</w:t>
      </w:r>
    </w:p>
    <w:p>
      <w:pPr>
        <w:pStyle w:val="Heading1"/>
      </w:pPr>
      <w:bookmarkStart w:id="14" w:name="_980733986a2097184c07d2daa1f9bcda984e2d9"/>
      <w:r>
        <w:t xml:space="preserve">3. Aims and hypotheses</w:t>
      </w:r>
      <w:bookmarkEnd w:id="14"/>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Aim</w:t>
            </w:r>
          </w:p>
        </w:tc>
        <w:tc>
          <w:tcPr/>
          <w:p>
            <w:pPr>
              <w:pStyle w:val="Compact"/>
            </w:pPr>
            <w:r>
              <w:rPr>
                <w:b/>
                <w:bCs/>
              </w:rPr>
              <w:t xml:space="preserve">Question</w:t>
            </w:r>
          </w:p>
        </w:tc>
        <w:tc>
          <w:tcPr/>
          <w:p>
            <w:pPr>
              <w:pStyle w:val="Compact"/>
            </w:pPr>
            <w:r>
              <w:rPr>
                <w:b/>
                <w:bCs/>
              </w:rPr>
              <w:t xml:space="preserve">Hypotheses</w:t>
            </w:r>
          </w:p>
        </w:tc>
        <w:tc>
          <w:tcPr/>
          <w:p>
            <w:pPr>
              <w:pStyle w:val="Compact"/>
            </w:pPr>
            <w:r>
              <w:rPr>
                <w:b/>
                <w:bCs/>
              </w:rPr>
              <w:t xml:space="preserve">Primary output</w:t>
            </w:r>
          </w:p>
        </w:tc>
      </w:tr>
      <w:tr>
        <w:tc>
          <w:tcPr/>
          <w:p>
            <w:pPr>
              <w:pStyle w:val="Compact"/>
            </w:pPr>
            <w:r>
              <w:rPr>
                <w:b/>
                <w:bCs/>
              </w:rPr>
              <w:t xml:space="preserve">Aim 1. What each method answers</w:t>
            </w:r>
          </w:p>
        </w:tc>
        <w:tc>
          <w:tcPr/>
          <w:p>
            <w:pPr>
              <w:pStyle w:val="Compact"/>
            </w:pPr>
            <w:r>
              <w:t xml:space="preserve">In a clean world (all confounders measured, one physician type), how far is each method’s own estimand from the clinically relevant one (question gap), and is each method unbiased for its own estimand?</w:t>
            </w:r>
          </w:p>
        </w:tc>
        <w:tc>
          <w:tcPr/>
          <w:p>
            <w:pPr>
              <w:pStyle w:val="Compact"/>
            </w:pPr>
            <w:r>
              <w:t xml:space="preserve">H1a: Each TTE method is unbiased for its own estimand. H1b: Landmark and sequential-trial ITT have large question gaps, while CCW-B1 has none by definition. H1c: The ITT of the realistic RCT is diluted towards the null by crossover, and is shifted by surgeon selection.</w:t>
            </w:r>
          </w:p>
        </w:tc>
        <w:tc>
          <w:tcPr/>
          <w:p>
            <w:pPr>
              <w:pStyle w:val="Compact"/>
            </w:pPr>
            <w:r>
              <w:t xml:space="preserve">Fig 1 (base panel), Table 2</w:t>
            </w:r>
          </w:p>
        </w:tc>
      </w:tr>
      <w:tr>
        <w:tc>
          <w:tcPr/>
          <w:p>
            <w:pPr>
              <w:pStyle w:val="Compact"/>
            </w:pPr>
            <w:r>
              <w:rPr>
                <w:b/>
                <w:bCs/>
              </w:rPr>
              <w:t xml:space="preserve">Aim 2. Surgery-specific threats</w:t>
            </w:r>
          </w:p>
        </w:tc>
        <w:tc>
          <w:tcPr/>
          <w:p>
            <w:pPr>
              <w:pStyle w:val="Compact"/>
            </w:pPr>
            <w:r>
              <w:t xml:space="preserve">How does each threat change the estimation bias of each method × physician variant?</w:t>
            </w:r>
          </w:p>
        </w:tc>
        <w:tc>
          <w:tcPr/>
          <w:p>
            <w:pPr>
              <w:pStyle w:val="Compact"/>
            </w:pPr>
            <w:r>
              <w:t xml:space="preserve">H2a: Cluster-robust SEs fix coverage, not bias. H2b: A physician random intercept in the weight models removes only part of the confounding by physician; within-physician analysis (FE) removes it when style affects the outcome directly, but amplifies residual patient confounding when style acts only on treatment (Z-bias). H2c: Unmeasured severity biases every observational method; no physician variant fixes it. H2d: Crossover driven by deferral hurts landmark and RCT-ITT most.</w:t>
            </w:r>
          </w:p>
        </w:tc>
        <w:tc>
          <w:tcPr/>
          <w:p>
            <w:pPr>
              <w:pStyle w:val="Compact"/>
            </w:pPr>
            <w:r>
              <w:t xml:space="preserve">Fig 1 (threat panels), Fig 2, Table 3</w:t>
            </w:r>
          </w:p>
        </w:tc>
      </w:tr>
      <w:tr>
        <w:tc>
          <w:tcPr/>
          <w:p>
            <w:pPr>
              <w:pStyle w:val="Compact"/>
            </w:pPr>
            <w:r>
              <w:rPr>
                <w:b/>
                <w:bCs/>
              </w:rPr>
              <w:t xml:space="preserve">Aim 3. Do negative controls detect the problem?</w:t>
            </w:r>
          </w:p>
        </w:tc>
        <w:tc>
          <w:tcPr/>
          <w:p>
            <w:pPr>
              <w:pStyle w:val="Compact"/>
            </w:pPr>
            <w:r>
              <w:t xml:space="preserve">When a method’s MALE estimate is biased by more than 1 percentage point, how often does each negative control flag it?</w:t>
            </w:r>
          </w:p>
        </w:tc>
        <w:tc>
          <w:tcPr/>
          <w:p>
            <w:pPr>
              <w:pStyle w:val="Compact"/>
            </w:pPr>
            <w:r>
              <w:t xml:space="preserve">H3a: NCO-1 (patient-level) is sensitive to unmeasured severity or frailty. H3b: NCO-2 (physician-level) flags style variation even when style is not confounding, so its specificity is low. H3c: Substantial bias can sit behind a clean negative control.</w:t>
            </w:r>
          </w:p>
        </w:tc>
        <w:tc>
          <w:tcPr/>
          <w:p>
            <w:pPr>
              <w:pStyle w:val="Compact"/>
            </w:pPr>
            <w:r>
              <w:t xml:space="preserve">Fig 3, Table 4</w:t>
            </w:r>
          </w:p>
        </w:tc>
      </w:tr>
    </w:tbl>
    <w:p>
      <w:pPr>
        <w:pStyle w:val="FirstParagraph"/>
      </w:pPr>
      <w:r>
        <w:rPr>
          <w:i/>
          <w:iCs/>
        </w:rPr>
        <w:t xml:space="preserve">Secondary (supplement): each MALE component separately; total procedures per patient; Sorber</w:t>
      </w:r>
      <w:r>
        <w:rPr>
          <w:i/>
          <w:iCs/>
        </w:rPr>
        <w:t xml:space="preserve"> </w:t>
      </w:r>
      <w:r>
        <w:rPr>
          <w:i/>
          <w:iCs/>
        </w:rPr>
        <w:t xml:space="preserve">“late PVI”</w:t>
      </w:r>
      <w:r>
        <w:rPr>
          <w:i/>
          <w:iCs/>
        </w:rPr>
        <w:t xml:space="preserve"> </w:t>
      </w:r>
      <w:r>
        <w:rPr>
          <w:i/>
          <w:iCs/>
        </w:rPr>
        <w:t xml:space="preserve">definition; HR scale; MALE-free survival; 3-month window; sequential trials per-protocol; preference IV; unmeasured supervised exercise; n = 200,000; full factorial if the one-at-a-time results suggest interactions.</w:t>
      </w:r>
    </w:p>
    <w:p>
      <w:pPr>
        <w:pStyle w:val="Heading1"/>
      </w:pPr>
      <w:bookmarkStart w:id="15" w:name="_5138bbd4b1b5f292d5217cdb09140e12e194a5b"/>
      <w:r>
        <w:t xml:space="preserve">4. Target trial specification</w:t>
      </w:r>
      <w:bookmarkEnd w:id="15"/>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Component</w:t>
            </w:r>
          </w:p>
        </w:tc>
        <w:tc>
          <w:tcPr/>
          <w:p>
            <w:pPr>
              <w:pStyle w:val="Compact"/>
            </w:pPr>
            <w:r>
              <w:rPr>
                <w:b/>
                <w:bCs/>
              </w:rPr>
              <w:t xml:space="preserve">Target trial</w:t>
            </w:r>
          </w:p>
        </w:tc>
        <w:tc>
          <w:tcPr/>
          <w:p>
            <w:pPr>
              <w:pStyle w:val="Compact"/>
            </w:pPr>
            <w:r>
              <w:rPr>
                <w:b/>
                <w:bCs/>
              </w:rPr>
              <w:t xml:space="preserve">Emulation in the simulated claims</w:t>
            </w:r>
          </w:p>
        </w:tc>
      </w:tr>
      <w:tr>
        <w:tc>
          <w:tcPr/>
          <w:p>
            <w:pPr>
              <w:pStyle w:val="Compact"/>
            </w:pPr>
            <w:r>
              <w:t xml:space="preserve">Eligibility</w:t>
            </w:r>
          </w:p>
        </w:tc>
        <w:tc>
          <w:tcPr/>
          <w:p>
            <w:pPr>
              <w:pStyle w:val="Compact"/>
            </w:pPr>
            <w:r>
              <w:t xml:space="preserve">Medicare beneficiaries ≥66 y with a new claudication diagnosis, no PVI, bypass, CLTI or amputation in the prior 12 months</w:t>
            </w:r>
          </w:p>
        </w:tc>
        <w:tc>
          <w:tcPr/>
          <w:p>
            <w:pPr>
              <w:pStyle w:val="Compact"/>
            </w:pPr>
            <w:r>
              <w:t xml:space="preserve">Same, at the diagnosis month (month 0)</w:t>
            </w:r>
          </w:p>
        </w:tc>
      </w:tr>
      <w:tr>
        <w:tc>
          <w:tcPr/>
          <w:p>
            <w:pPr>
              <w:pStyle w:val="Compact"/>
            </w:pPr>
            <w:r>
              <w:t xml:space="preserve">Strategies</w:t>
            </w:r>
          </w:p>
        </w:tc>
        <w:tc>
          <w:tcPr/>
          <w:p>
            <w:pPr>
              <w:pStyle w:val="Compact"/>
            </w:pPr>
            <w:r>
              <w:rPr>
                <w:b/>
                <w:bCs/>
              </w:rPr>
              <w:t xml:space="preserve">A:</w:t>
            </w:r>
            <w:r>
              <w:t xml:space="preserve"> </w:t>
            </w:r>
            <w:r>
              <w:t xml:space="preserve">PVI within 6 months of diagnosis.</w:t>
            </w:r>
            <w:r>
              <w:t xml:space="preserve"> </w:t>
            </w:r>
            <w:r>
              <w:rPr>
                <w:b/>
                <w:bCs/>
              </w:rPr>
              <w:t xml:space="preserve">B1 (primary comparator):</w:t>
            </w:r>
            <w:r>
              <w:t xml:space="preserve"> </w:t>
            </w:r>
            <w:r>
              <w:t xml:space="preserve">no PVI in months 0–5, then usual care.</w:t>
            </w:r>
            <w:r>
              <w:t xml:space="preserve"> </w:t>
            </w:r>
            <w:r>
              <w:rPr>
                <w:b/>
                <w:bCs/>
              </w:rPr>
              <w:t xml:space="preserve">B2:</w:t>
            </w:r>
            <w:r>
              <w:t xml:space="preserve"> </w:t>
            </w:r>
            <w:r>
              <w:t xml:space="preserve">no elective PVI at any time (PVI only after a MALE event)</w:t>
            </w:r>
          </w:p>
        </w:tc>
        <w:tc>
          <w:tcPr/>
          <w:p>
            <w:pPr>
              <w:pStyle w:val="Compact"/>
            </w:pPr>
            <w:r>
              <w:t xml:space="preserve">Observed PVI timing compared with each strategy</w:t>
            </w:r>
          </w:p>
        </w:tc>
      </w:tr>
      <w:tr>
        <w:tc>
          <w:tcPr/>
          <w:p>
            <w:pPr>
              <w:pStyle w:val="Compact"/>
            </w:pPr>
            <w:r>
              <w:t xml:space="preserve">Assignment</w:t>
            </w:r>
          </w:p>
        </w:tc>
        <w:tc>
          <w:tcPr/>
          <w:p>
            <w:pPr>
              <w:pStyle w:val="Compact"/>
            </w:pPr>
            <w:r>
              <w:t xml:space="preserve">Randomized at diagnosis</w:t>
            </w:r>
          </w:p>
        </w:tc>
        <w:tc>
          <w:tcPr/>
          <w:p>
            <w:pPr>
              <w:pStyle w:val="Compact"/>
            </w:pPr>
            <w:r>
              <w:t xml:space="preserve">Exchangeable conditional on measured baseline and time-varying covariates (and, by variant, on the physician)</w:t>
            </w:r>
          </w:p>
        </w:tc>
      </w:tr>
      <w:tr>
        <w:tc>
          <w:tcPr/>
          <w:p>
            <w:pPr>
              <w:pStyle w:val="Compact"/>
            </w:pPr>
            <w:r>
              <w:t xml:space="preserve">Time zero</w:t>
            </w:r>
          </w:p>
        </w:tc>
        <w:tc>
          <w:tcPr/>
          <w:p>
            <w:pPr>
              <w:pStyle w:val="Compact"/>
            </w:pPr>
            <w:r>
              <w:t xml:space="preserve">Diagnosis = eligibility = assignment</w:t>
            </w:r>
          </w:p>
        </w:tc>
        <w:tc>
          <w:tcPr/>
          <w:p>
            <w:pPr>
              <w:pStyle w:val="Compact"/>
            </w:pPr>
            <w:r>
              <w:t xml:space="preserve">Same</w:t>
            </w:r>
          </w:p>
        </w:tc>
      </w:tr>
      <w:tr>
        <w:tc>
          <w:tcPr/>
          <w:p>
            <w:pPr>
              <w:pStyle w:val="Compact"/>
            </w:pPr>
            <w:r>
              <w:t xml:space="preserve">Follow-up</w:t>
            </w:r>
          </w:p>
        </w:tc>
        <w:tc>
          <w:tcPr/>
          <w:p>
            <w:pPr>
              <w:pStyle w:val="Compact"/>
            </w:pPr>
            <w:r>
              <w:t xml:space="preserve">Months 0–59. Ends at MALE, death or month 60</w:t>
            </w:r>
          </w:p>
        </w:tc>
        <w:tc>
          <w:tcPr/>
          <w:p>
            <w:pPr>
              <w:pStyle w:val="Compact"/>
            </w:pPr>
            <w:r>
              <w:t xml:space="preserve">Same; no loss to follow-up (as in Medicare FFS without disenrollment)</w:t>
            </w:r>
          </w:p>
        </w:tc>
      </w:tr>
      <w:tr>
        <w:tc>
          <w:tcPr/>
          <w:p>
            <w:pPr>
              <w:pStyle w:val="Compact"/>
            </w:pPr>
            <w:r>
              <w:t xml:space="preserve">Outcome</w:t>
            </w:r>
          </w:p>
        </w:tc>
        <w:tc>
          <w:tcPr/>
          <w:p>
            <w:pPr>
              <w:pStyle w:val="Compact"/>
            </w:pPr>
            <w:r>
              <w:t xml:space="preserve">MALE: first of CLTI, major amputation, open bypass, or any revascularization after the first (index) one (D7). Death is a competing event (D8)</w:t>
            </w:r>
          </w:p>
        </w:tc>
        <w:tc>
          <w:tcPr/>
          <w:p>
            <w:pPr>
              <w:pStyle w:val="Compact"/>
            </w:pPr>
            <w:r>
              <w:t xml:space="preserve">Same, from simulated claims</w:t>
            </w:r>
          </w:p>
        </w:tc>
      </w:tr>
      <w:tr>
        <w:tc>
          <w:tcPr/>
          <w:p>
            <w:pPr>
              <w:pStyle w:val="Compact"/>
            </w:pPr>
            <w:r>
              <w:t xml:space="preserve">Causal contrast</w:t>
            </w:r>
          </w:p>
        </w:tc>
        <w:tc>
          <w:tcPr/>
          <w:p>
            <w:pPr>
              <w:pStyle w:val="Compact"/>
            </w:pPr>
            <w:r>
              <w:t xml:space="preserve">Per-protocol (sustained strategies)</w:t>
            </w:r>
          </w:p>
        </w:tc>
        <w:tc>
          <w:tcPr/>
          <w:p>
            <w:pPr>
              <w:pStyle w:val="Compact"/>
            </w:pPr>
            <w:r>
              <w:t xml:space="preserve">CCW with artificial-censoring weights</w:t>
            </w:r>
          </w:p>
        </w:tc>
      </w:tr>
      <w:tr>
        <w:tc>
          <w:tcPr/>
          <w:p>
            <w:pPr>
              <w:pStyle w:val="Compact"/>
            </w:pPr>
            <w:r>
              <w:t xml:space="preserve">Measure</w:t>
            </w:r>
          </w:p>
        </w:tc>
        <w:tc>
          <w:tcPr/>
          <w:p>
            <w:pPr>
              <w:pStyle w:val="Compact"/>
            </w:pPr>
            <w:r>
              <w:t xml:space="preserve">5-year cumulative incidence of MALE; risk difference A − B1 (and A − B2)</w:t>
            </w:r>
          </w:p>
        </w:tc>
        <w:tc>
          <w:tcPr/>
          <w:p>
            <w:pPr>
              <w:pStyle w:val="Compact"/>
            </w:pPr>
            <w:r>
              <w:t xml:space="preserve">Weighted cause-specific hazards → cumulative incidence</w:t>
            </w:r>
          </w:p>
        </w:tc>
      </w:tr>
    </w:tbl>
    <w:p>
      <w:pPr>
        <w:pStyle w:val="FirstParagraph"/>
      </w:pPr>
      <w:r>
        <w:rPr>
          <w:b/>
          <w:bCs/>
        </w:rPr>
        <w:t xml:space="preserve">Clinically relevant estimand (the reference, D11):</w:t>
      </w:r>
      <w:r>
        <w:t xml:space="preserve"> </w:t>
      </w:r>
      <w:r>
        <w:t xml:space="preserve">RD(A − B1) at month 60, among all new claudicants, with PVI done by each patient’s own physician (D21), under full adherence.</w:t>
      </w:r>
    </w:p>
    <w:p>
      <w:pPr>
        <w:pStyle w:val="Heading1"/>
      </w:pPr>
      <w:bookmarkStart w:id="16" w:name="_7d05c69032c2d0d183850deddcb5a24709a037e"/>
      <w:r>
        <w:t xml:space="preserve">5. Data-generating mechanism</w:t>
      </w:r>
      <w:bookmarkEnd w:id="16"/>
    </w:p>
    <w:p>
      <w:pPr>
        <w:pStyle w:val="Heading2"/>
      </w:pPr>
      <w:bookmarkStart w:id="17" w:name="_structure"/>
      <w:r>
        <w:t xml:space="preserve">5.1 Structure</w:t>
      </w:r>
      <w:bookmarkEnd w:id="17"/>
    </w:p>
    <w:p>
      <w:pPr>
        <w:pStyle w:val="FirstParagraph"/>
      </w:pPr>
      <w:r>
        <w:t xml:space="preserve">Time is in months 0–59 (D16). Each replicate draws</w:t>
      </w:r>
      <w:r>
        <w:t xml:space="preserve"> </w:t>
      </w:r>
      <w:r>
        <w:rPr>
          <w:b/>
          <w:bCs/>
        </w:rPr>
        <w:t xml:space="preserve">J ≈ 1,500 physicians</w:t>
      </w:r>
      <w:r>
        <w:t xml:space="preserve"> </w:t>
      </w:r>
      <w:r>
        <w:t xml:space="preserve">and</w:t>
      </w:r>
      <w:r>
        <w:t xml:space="preserve"> </w:t>
      </w:r>
      <w:r>
        <w:rPr>
          <w:b/>
          <w:bCs/>
        </w:rPr>
        <w:t xml:space="preserve">N = 50,000 patients</w:t>
      </w:r>
      <w:r>
        <w:t xml:space="preserve"> </w:t>
      </w:r>
      <w:r>
        <w:t xml:space="preserve">(D25). Patients are assigned to physicians with lognormal panel sizes (median ≈ 20, long right tail).</w:t>
      </w:r>
    </w:p>
    <w:p>
      <w:pPr>
        <w:pStyle w:val="BodyText"/>
      </w:pPr>
      <w:r>
        <w:rPr>
          <w:b/>
          <w:bCs/>
        </w:rPr>
        <w:t xml:space="preserve">Physicians (j).</w:t>
      </w:r>
      <w:r>
        <w:t xml:space="preserve"> </w:t>
      </w:r>
      <w:r>
        <w:t xml:space="preserve">- Latent</w:t>
      </w:r>
      <w:r>
        <w:t xml:space="preserve"> </w:t>
      </w:r>
      <w:r>
        <w:rPr>
          <w:b/>
          <w:bCs/>
        </w:rPr>
        <w:t xml:space="preserve">skill</w:t>
      </w:r>
      <w:r>
        <w:t xml:space="preserve"> </w:t>
      </w:r>
      <w:r>
        <w:t xml:space="preserve">K_j ~ N(0, σ_K²) and latent</w:t>
      </w:r>
      <w:r>
        <w:t xml:space="preserve"> </w:t>
      </w:r>
      <w:r>
        <w:rPr>
          <w:b/>
          <w:bCs/>
        </w:rPr>
        <w:t xml:space="preserve">style</w:t>
      </w:r>
      <w:r>
        <w:t xml:space="preserve"> </w:t>
      </w:r>
      <w:r>
        <w:t xml:space="preserve">S_j ~ N(0, σ_S²), with corr(K, S) = ρ.</w:t>
      </w:r>
      <w:r>
        <w:t xml:space="preserve"> </w:t>
      </w:r>
      <w:r>
        <w:t xml:space="preserve">-</w:t>
      </w:r>
      <w:r>
        <w:t xml:space="preserve"> </w:t>
      </w:r>
      <w:r>
        <w:rPr>
          <w:b/>
          <w:bCs/>
        </w:rPr>
        <w:t xml:space="preserve">Practice setting</w:t>
      </w:r>
      <w:r>
        <w:t xml:space="preserve"> </w:t>
      </w:r>
      <w:r>
        <w:t xml:space="preserve">OBL_j ∈ {0,1} is observed, with logit P(OBL_j = 1) = o₀ + o_S·S_j (high-style physicians are more often in office-based labs or ASCs).</w:t>
      </w:r>
    </w:p>
    <w:p>
      <w:pPr>
        <w:pStyle w:val="BodyText"/>
      </w:pPr>
      <w:r>
        <w:rPr>
          <w:b/>
          <w:bCs/>
        </w:rPr>
        <w:t xml:space="preserve">Patients (i), at diagnosis.</w:t>
      </w:r>
      <w:r>
        <w:t xml:space="preserve"> </w:t>
      </w:r>
      <w:r>
        <w:t xml:space="preserve">- Measured X_i: age, female, Black race, diabetes, CKD/dialysis, CHF, COPD, prior CVD, coded smoking, calendar year.</w:t>
      </w:r>
      <w:r>
        <w:t xml:space="preserve"> </w:t>
      </w:r>
      <w:r>
        <w:t xml:space="preserve">- Latent</w:t>
      </w:r>
      <w:r>
        <w:t xml:space="preserve"> </w:t>
      </w:r>
      <w:r>
        <w:rPr>
          <w:b/>
          <w:bCs/>
        </w:rPr>
        <w:t xml:space="preserve">frailty</w:t>
      </w:r>
      <w:r>
        <w:t xml:space="preserve"> </w:t>
      </w:r>
      <w:r>
        <w:t xml:space="preserve">F_i, correlated with the measured comorbidities.</w:t>
      </w:r>
      <w:r>
        <w:t xml:space="preserve"> </w:t>
      </w:r>
      <w:r>
        <w:t xml:space="preserve">- Latent</w:t>
      </w:r>
      <w:r>
        <w:t xml:space="preserve"> </w:t>
      </w:r>
      <w:r>
        <w:rPr>
          <w:b/>
          <w:bCs/>
        </w:rPr>
        <w:t xml:space="preserve">true smoking</w:t>
      </w:r>
      <w:r>
        <w:t xml:space="preserve"> </w:t>
      </w:r>
      <w:r>
        <w:t xml:space="preserve">(coded smoking is a misclassified version of it).</w:t>
      </w:r>
      <w:r>
        <w:t xml:space="preserve"> </w:t>
      </w:r>
      <w:r>
        <w:t xml:space="preserve">- Latent</w:t>
      </w:r>
      <w:r>
        <w:t xml:space="preserve"> </w:t>
      </w:r>
      <w:r>
        <w:rPr>
          <w:b/>
          <w:bCs/>
        </w:rPr>
        <w:t xml:space="preserve">initial severity</w:t>
      </w:r>
      <w:r>
        <w:t xml:space="preserve"> </w:t>
      </w:r>
      <w:r>
        <w:t xml:space="preserve">Z_i0 = γ₀ + γ_X·X_i + e_i.</w:t>
      </w:r>
      <w:r>
        <w:t xml:space="preserve"> </w:t>
      </w:r>
      <w:r>
        <w:t xml:space="preserve">- Latent</w:t>
      </w:r>
      <w:r>
        <w:t xml:space="preserve"> </w:t>
      </w:r>
      <w:r>
        <w:rPr>
          <w:b/>
          <w:bCs/>
        </w:rPr>
        <w:t xml:space="preserve">progression rate</w:t>
      </w:r>
      <w:r>
        <w:t xml:space="preserve"> </w:t>
      </w:r>
      <w:r>
        <w:t xml:space="preserve">r_i = r₀ + r_X·(diabetes, smoking) + u_i.</w:t>
      </w:r>
    </w:p>
    <w:p>
      <w:pPr>
        <w:pStyle w:val="BodyText"/>
      </w:pPr>
      <w:r>
        <w:rPr>
          <w:b/>
          <w:bCs/>
        </w:rPr>
        <w:t xml:space="preserve">Latent severity process.</w:t>
      </w:r>
      <w:r>
        <w:t xml:space="preserve"> </w:t>
      </w:r>
      <w:r>
        <w:t xml:space="preserve">Z_it = Z_i,t−1 + r_i + ε_it, so severity drifts upward at a patient-specific rate.</w:t>
      </w:r>
    </w:p>
    <w:p>
      <w:pPr>
        <w:pStyle w:val="BodyText"/>
      </w:pPr>
      <w:r>
        <w:rPr>
          <w:b/>
          <w:bCs/>
        </w:rPr>
        <w:t xml:space="preserve">What a PVI does (the treatment mechanism, D20).</w:t>
      </w:r>
      <w:r>
        <w:t xml:space="preserve"> </w:t>
      </w:r>
      <w:r>
        <w:t xml:space="preserve">At the month of PVI:</w:t>
      </w:r>
      <w:r>
        <w:t xml:space="preserve"> </w:t>
      </w:r>
      <w:r>
        <w:t xml:space="preserve">-</w:t>
      </w:r>
      <w:r>
        <w:t xml:space="preserve"> </w:t>
      </w:r>
      <w:r>
        <w:rPr>
          <w:b/>
          <w:bCs/>
        </w:rPr>
        <w:t xml:space="preserve">Relief.</w:t>
      </w:r>
      <w:r>
        <w:t xml:space="preserve"> </w:t>
      </w:r>
      <w:r>
        <w:t xml:space="preserve">Severity drops by Δ (symptom relief, which lowers the near-term CLTI hazard).</w:t>
      </w:r>
      <w:r>
        <w:t xml:space="preserve"> </w:t>
      </w:r>
      <w:r>
        <w:t xml:space="preserve">-</w:t>
      </w:r>
      <w:r>
        <w:t xml:space="preserve"> </w:t>
      </w:r>
      <w:r>
        <w:rPr>
          <w:b/>
          <w:bCs/>
        </w:rPr>
        <w:t xml:space="preserve">Restenosis and progression.</w:t>
      </w:r>
      <w:r>
        <w:t xml:space="preserve"> </w:t>
      </w:r>
      <w:r>
        <w:t xml:space="preserve">After PVI, the progression rate increases by κ·g(K_j), where g decreases with skill. This adds a skill-dependent hazard of repeat revascularization and of later CLTI.</w:t>
      </w:r>
      <w:r>
        <w:t xml:space="preserve"> </w:t>
      </w:r>
      <w:r>
        <w:t xml:space="preserve">- Relief early and faster progression later produce the</w:t>
      </w:r>
      <w:r>
        <w:t xml:space="preserve"> </w:t>
      </w:r>
      <w:r>
        <w:rPr>
          <w:i/>
          <w:iCs/>
        </w:rPr>
        <w:t xml:space="preserve">benefit-then-harm</w:t>
      </w:r>
      <w:r>
        <w:t xml:space="preserve"> </w:t>
      </w:r>
      <w:r>
        <w:t xml:space="preserve">pattern (D4, factor 7). Δ and κ set the truth scenario (§5.3).</w:t>
      </w:r>
    </w:p>
    <w:p>
      <w:pPr>
        <w:pStyle w:val="BodyText"/>
      </w:pPr>
      <w:r>
        <w:rPr>
          <w:b/>
          <w:bCs/>
        </w:rPr>
        <w:t xml:space="preserve">PVI decision, before the first PVI.</w:t>
      </w:r>
      <w:r>
        <w:t xml:space="preserve"> </w:t>
      </w:r>
      <w:r>
        <w:t xml:space="preserve">The monthly hazard is</w:t>
      </w:r>
    </w:p>
    <w:p>
      <w:pPr>
        <w:pStyle w:val="BodyText"/>
      </w:pPr>
      <w:r>
        <w:t xml:space="preserve">logit h_PVI(t) = α₀ + α_Z·Z_it + α_X·X_i + α_F·F_i + α_S·S_j + α_win·1[t ≥ 6]·(β_def + β_Z,def·Z_it)</w:t>
      </w:r>
    </w:p>
    <w:p>
      <w:pPr>
        <w:pStyle w:val="Compact"/>
        <w:numPr>
          <w:ilvl w:val="0"/>
          <w:numId w:val="1005"/>
        </w:numPr>
      </w:pPr>
      <w:r>
        <w:t xml:space="preserve">Inside the window (months 0–5) the decision is driven by severity, which is confounding by indication.</w:t>
      </w:r>
    </w:p>
    <w:p>
      <w:pPr>
        <w:pStyle w:val="Compact"/>
        <w:numPr>
          <w:ilvl w:val="0"/>
          <w:numId w:val="1005"/>
        </w:numPr>
      </w:pPr>
      <w:r>
        <w:t xml:space="preserve">After month 6, deferred PVI is governed by β_def and β_Z,def. This is factor 4.</w:t>
      </w:r>
    </w:p>
    <w:p>
      <w:pPr>
        <w:pStyle w:val="FirstParagraph"/>
      </w:pPr>
      <w:r>
        <w:rPr>
          <w:b/>
          <w:bCs/>
        </w:rPr>
        <w:t xml:space="preserve">Outcomes (monthly cause-specific hazards; pooled logistic form).</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Process</w:t>
            </w:r>
          </w:p>
        </w:tc>
        <w:tc>
          <w:tcPr/>
          <w:p>
            <w:pPr>
              <w:pStyle w:val="Compact"/>
            </w:pPr>
            <w:r>
              <w:rPr>
                <w:b/>
                <w:bCs/>
              </w:rPr>
              <w:t xml:space="preserve">Depends on</w:t>
            </w:r>
          </w:p>
        </w:tc>
      </w:tr>
      <w:tr>
        <w:tc>
          <w:tcPr/>
          <w:p>
            <w:pPr>
              <w:pStyle w:val="Compact"/>
            </w:pPr>
            <w:r>
              <w:t xml:space="preserve">True CLTI</w:t>
            </w:r>
          </w:p>
        </w:tc>
        <w:tc>
          <w:tcPr/>
          <w:p>
            <w:pPr>
              <w:pStyle w:val="Compact"/>
            </w:pPr>
            <w:r>
              <w:t xml:space="preserve">Z_it, X_i, F_i</w:t>
            </w:r>
          </w:p>
        </w:tc>
      </w:tr>
      <w:tr>
        <w:tc>
          <w:tcPr/>
          <w:p>
            <w:pPr>
              <w:pStyle w:val="Compact"/>
            </w:pPr>
            <w:r>
              <w:t xml:space="preserve">Coded CLTI</w:t>
            </w:r>
          </w:p>
        </w:tc>
        <w:tc>
          <w:tcPr/>
          <w:p>
            <w:pPr>
              <w:pStyle w:val="Compact"/>
            </w:pPr>
            <w:r>
              <w:t xml:space="preserve">True CLTI + extra coding hazard ∝ S_j·1[factor 3] among patients with moderate Z_it</w:t>
            </w:r>
          </w:p>
        </w:tc>
      </w:tr>
      <w:tr>
        <w:tc>
          <w:tcPr/>
          <w:p>
            <w:pPr>
              <w:pStyle w:val="Compact"/>
            </w:pPr>
            <w:r>
              <w:t xml:space="preserve">Major amputation</w:t>
            </w:r>
          </w:p>
        </w:tc>
        <w:tc>
          <w:tcPr/>
          <w:p>
            <w:pPr>
              <w:pStyle w:val="Compact"/>
            </w:pPr>
            <w:r>
              <w:t xml:space="preserve">Mainly after CLTI; small direct hazard from Z_it, diabetes, CKD</w:t>
            </w:r>
          </w:p>
        </w:tc>
      </w:tr>
      <w:tr>
        <w:tc>
          <w:tcPr/>
          <w:p>
            <w:pPr>
              <w:pStyle w:val="Compact"/>
            </w:pPr>
            <w:r>
              <w:t xml:space="preserve">Open bypass (elective)</w:t>
            </w:r>
          </w:p>
        </w:tc>
        <w:tc>
          <w:tcPr/>
          <w:p>
            <w:pPr>
              <w:pStyle w:val="Compact"/>
            </w:pPr>
            <w:r>
              <w:t xml:space="preserve">Z_it; higher if a previous PVI failed</w:t>
            </w:r>
          </w:p>
        </w:tc>
      </w:tr>
      <w:tr>
        <w:tc>
          <w:tcPr/>
          <w:p>
            <w:pPr>
              <w:pStyle w:val="Compact"/>
            </w:pPr>
            <w:r>
              <w:t xml:space="preserve">Repeat revascularization (only after the index PVI)</w:t>
            </w:r>
          </w:p>
        </w:tc>
        <w:tc>
          <w:tcPr/>
          <w:p>
            <w:pPr>
              <w:pStyle w:val="Compact"/>
            </w:pPr>
            <w:r>
              <w:t xml:space="preserve">Restenosis process (κ, K_j); lower threshold ∝ S_j·1[factor 3]</w:t>
            </w:r>
          </w:p>
        </w:tc>
      </w:tr>
      <w:tr>
        <w:tc>
          <w:tcPr/>
          <w:p>
            <w:pPr>
              <w:pStyle w:val="Compact"/>
            </w:pPr>
            <w:r>
              <w:t xml:space="preserve">Death</w:t>
            </w:r>
          </w:p>
        </w:tc>
        <w:tc>
          <w:tcPr/>
          <w:p>
            <w:pPr>
              <w:pStyle w:val="Compact"/>
            </w:pPr>
            <w:r>
              <w:t xml:space="preserve">Age, X_i, F_i, Z_it (weak)</w:t>
            </w:r>
          </w:p>
        </w:tc>
      </w:tr>
      <w:tr>
        <w:tc>
          <w:tcPr/>
          <w:p>
            <w:pPr>
              <w:pStyle w:val="Compact"/>
            </w:pPr>
            <w:r>
              <w:t xml:space="preserve">NCO-1: hip-fracture or pneumonia admission</w:t>
            </w:r>
          </w:p>
        </w:tc>
        <w:tc>
          <w:tcPr/>
          <w:p>
            <w:pPr>
              <w:pStyle w:val="Compact"/>
            </w:pPr>
            <w:r>
              <w:t xml:space="preserve">F_i, true smoking, age.</w:t>
            </w:r>
            <w:r>
              <w:t xml:space="preserve"> </w:t>
            </w:r>
            <w:r>
              <w:rPr>
                <w:b/>
                <w:bCs/>
              </w:rPr>
              <w:t xml:space="preserve">Never</w:t>
            </w:r>
            <w:r>
              <w:t xml:space="preserve"> </w:t>
            </w:r>
            <w:r>
              <w:t xml:space="preserve">PVI</w:t>
            </w:r>
          </w:p>
        </w:tc>
      </w:tr>
      <w:tr>
        <w:tc>
          <w:tcPr/>
          <w:p>
            <w:pPr>
              <w:pStyle w:val="Compact"/>
            </w:pPr>
            <w:r>
              <w:t xml:space="preserve">NCO-2: varicose-vein ablation</w:t>
            </w:r>
          </w:p>
        </w:tc>
        <w:tc>
          <w:tcPr/>
          <w:p>
            <w:pPr>
              <w:pStyle w:val="Compact"/>
            </w:pPr>
            <w:r>
              <w:t xml:space="preserve">S_j, latent venous disease.</w:t>
            </w:r>
            <w:r>
              <w:t xml:space="preserve"> </w:t>
            </w:r>
            <w:r>
              <w:rPr>
                <w:b/>
                <w:bCs/>
              </w:rPr>
              <w:t xml:space="preserve">Never</w:t>
            </w:r>
            <w:r>
              <w:t xml:space="preserve"> </w:t>
            </w:r>
            <w:r>
              <w:t xml:space="preserve">PVI</w:t>
            </w:r>
          </w:p>
        </w:tc>
      </w:tr>
      <w:tr>
        <w:tc>
          <w:tcPr/>
          <w:p>
            <w:pPr>
              <w:pStyle w:val="Compact"/>
            </w:pPr>
            <w:r>
              <w:t xml:space="preserve">NCE: low-value procedure (vein ablation) in months 0–5</w:t>
            </w:r>
          </w:p>
        </w:tc>
        <w:tc>
          <w:tcPr/>
          <w:p>
            <w:pPr>
              <w:pStyle w:val="Compact"/>
            </w:pPr>
            <w:r>
              <w:t xml:space="preserve">S_j, F_i.</w:t>
            </w:r>
            <w:r>
              <w:t xml:space="preserve"> </w:t>
            </w:r>
            <w:r>
              <w:rPr>
                <w:b/>
                <w:bCs/>
              </w:rPr>
              <w:t xml:space="preserve">Never</w:t>
            </w:r>
            <w:r>
              <w:t xml:space="preserve"> </w:t>
            </w:r>
            <w:r>
              <w:t xml:space="preserve">affects any outcome</w:t>
            </w:r>
          </w:p>
        </w:tc>
      </w:tr>
    </w:tbl>
    <w:p>
      <w:pPr>
        <w:pStyle w:val="FirstParagraph"/>
      </w:pPr>
      <w:r>
        <w:rPr>
          <w:b/>
          <w:bCs/>
        </w:rPr>
        <w:t xml:space="preserve">Measured vs latent (D17).</w:t>
      </w:r>
      <w:r>
        <w:t xml:space="preserve"> </w:t>
      </w:r>
      <w:r>
        <w:t xml:space="preserve">- What the analyst sees: X_i, a claims frailty index, the physician ID, OBL_j, all coded events, and a time-varying</w:t>
      </w:r>
      <w:r>
        <w:t xml:space="preserve"> </w:t>
      </w:r>
      <w:r>
        <w:rPr>
          <w:b/>
          <w:bCs/>
        </w:rPr>
        <w:t xml:space="preserve">severity proxy</w:t>
      </w:r>
      <w:r>
        <w:t xml:space="preserve">. The proxy is a monthly count of vascular visits and noninvasive arterial tests, P_it ~ Poisson(exp(p₀ + λ·Z_it)), plus its running sum.</w:t>
      </w:r>
      <w:r>
        <w:t xml:space="preserve"> </w:t>
      </w:r>
      <w:r>
        <w:t xml:space="preserve">- What is latent: Z_it, r_i, F_i (the frailty index is its proxy), true smoking, K_j, S_j.</w:t>
      </w:r>
    </w:p>
    <w:p>
      <w:pPr>
        <w:pStyle w:val="BodyText"/>
      </w:pPr>
      <w:r>
        <w:rPr>
          <w:b/>
          <w:bCs/>
        </w:rPr>
        <w:t xml:space="preserve">Table A. Variable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Block</w:t>
            </w:r>
          </w:p>
        </w:tc>
        <w:tc>
          <w:tcPr/>
          <w:p>
            <w:pPr>
              <w:pStyle w:val="Compact"/>
            </w:pPr>
            <w:r>
              <w:rPr>
                <w:b/>
                <w:bCs/>
              </w:rPr>
              <w:t xml:space="preserve">Causal role</w:t>
            </w:r>
          </w:p>
        </w:tc>
        <w:tc>
          <w:tcPr/>
          <w:p>
            <w:pPr>
              <w:pStyle w:val="Compact"/>
            </w:pPr>
            <w:r>
              <w:rPr>
                <w:b/>
                <w:bCs/>
              </w:rPr>
              <w:t xml:space="preserve">Clinical analogue</w:t>
            </w:r>
          </w:p>
        </w:tc>
        <w:tc>
          <w:tcPr/>
          <w:p>
            <w:pPr>
              <w:pStyle w:val="Compact"/>
            </w:pPr>
            <w:r>
              <w:rPr>
                <w:b/>
                <w:bCs/>
              </w:rPr>
              <w:t xml:space="preserve">Measured?</w:t>
            </w:r>
          </w:p>
        </w:tc>
      </w:tr>
      <w:tr>
        <w:tc>
          <w:tcPr/>
          <w:p>
            <w:pPr>
              <w:pStyle w:val="Compact"/>
            </w:pPr>
            <w:r>
              <w:t xml:space="preserve">X</w:t>
            </w:r>
          </w:p>
        </w:tc>
        <w:tc>
          <w:tcPr/>
          <w:p>
            <w:pPr>
              <w:pStyle w:val="Compact"/>
            </w:pPr>
            <w:r>
              <w:t xml:space="preserve">Baseline confounders</w:t>
            </w:r>
          </w:p>
        </w:tc>
        <w:tc>
          <w:tcPr/>
          <w:p>
            <w:pPr>
              <w:pStyle w:val="Compact"/>
            </w:pPr>
            <w:r>
              <w:t xml:space="preserve">Age, sex, race, diabetes, CKD, CHF, COPD, prior CVD, coded smoking, year</w:t>
            </w:r>
          </w:p>
        </w:tc>
        <w:tc>
          <w:tcPr/>
          <w:p>
            <w:pPr>
              <w:pStyle w:val="Compact"/>
            </w:pPr>
            <w:r>
              <w:t xml:space="preserve">Yes</w:t>
            </w:r>
          </w:p>
        </w:tc>
      </w:tr>
      <w:tr>
        <w:tc>
          <w:tcPr/>
          <w:p>
            <w:pPr>
              <w:pStyle w:val="Compact"/>
            </w:pPr>
            <w:r>
              <w:t xml:space="preserve">F</w:t>
            </w:r>
          </w:p>
        </w:tc>
        <w:tc>
          <w:tcPr/>
          <w:p>
            <w:pPr>
              <w:pStyle w:val="Compact"/>
            </w:pPr>
            <w:r>
              <w:t xml:space="preserve">Patient confounder (death, PVI candidacy, NCO-1)</w:t>
            </w:r>
          </w:p>
        </w:tc>
        <w:tc>
          <w:tcPr/>
          <w:p>
            <w:pPr>
              <w:pStyle w:val="Compact"/>
            </w:pPr>
            <w:r>
              <w:t xml:space="preserve">Frailty</w:t>
            </w:r>
          </w:p>
        </w:tc>
        <w:tc>
          <w:tcPr/>
          <w:p>
            <w:pPr>
              <w:pStyle w:val="Compact"/>
            </w:pPr>
            <w:r>
              <w:t xml:space="preserve">Through a frailty-index proxy</w:t>
            </w:r>
          </w:p>
        </w:tc>
      </w:tr>
      <w:tr>
        <w:tc>
          <w:tcPr/>
          <w:p>
            <w:pPr>
              <w:pStyle w:val="Compact"/>
            </w:pPr>
            <w:r>
              <w:t xml:space="preserve">Z_t</w:t>
            </w:r>
          </w:p>
        </w:tc>
        <w:tc>
          <w:tcPr/>
          <w:p>
            <w:pPr>
              <w:pStyle w:val="Compact"/>
            </w:pPr>
            <w:r>
              <w:t xml:space="preserve">Time-varying confounder (PVI decision, CLTI)</w:t>
            </w:r>
          </w:p>
        </w:tc>
        <w:tc>
          <w:tcPr/>
          <w:p>
            <w:pPr>
              <w:pStyle w:val="Compact"/>
            </w:pPr>
            <w:r>
              <w:t xml:space="preserve">Walking limitation / ABI</w:t>
            </w:r>
          </w:p>
        </w:tc>
        <w:tc>
          <w:tcPr/>
          <w:p>
            <w:pPr>
              <w:pStyle w:val="Compact"/>
            </w:pPr>
            <w:r>
              <w:t xml:space="preserve">Through a visit/testing proxy, P_t (strength λ)</w:t>
            </w:r>
          </w:p>
        </w:tc>
      </w:tr>
      <w:tr>
        <w:tc>
          <w:tcPr/>
          <w:p>
            <w:pPr>
              <w:pStyle w:val="Compact"/>
            </w:pPr>
            <w:r>
              <w:t xml:space="preserve">r</w:t>
            </w:r>
          </w:p>
        </w:tc>
        <w:tc>
          <w:tcPr/>
          <w:p>
            <w:pPr>
              <w:pStyle w:val="Compact"/>
            </w:pPr>
            <w:r>
              <w:t xml:space="preserve">Progression rate (prognostic)</w:t>
            </w:r>
          </w:p>
        </w:tc>
        <w:tc>
          <w:tcPr/>
          <w:p>
            <w:pPr>
              <w:pStyle w:val="Compact"/>
            </w:pPr>
            <w:r>
              <w:t xml:space="preserve">Diabetes/smoking-driven disease progression</w:t>
            </w:r>
          </w:p>
        </w:tc>
        <w:tc>
          <w:tcPr/>
          <w:p>
            <w:pPr>
              <w:pStyle w:val="Compact"/>
            </w:pPr>
            <w:r>
              <w:t xml:space="preserve">No</w:t>
            </w:r>
          </w:p>
        </w:tc>
      </w:tr>
      <w:tr>
        <w:tc>
          <w:tcPr/>
          <w:p>
            <w:pPr>
              <w:pStyle w:val="Compact"/>
            </w:pPr>
            <w:r>
              <w:t xml:space="preserve">K</w:t>
            </w:r>
          </w:p>
        </w:tc>
        <w:tc>
          <w:tcPr/>
          <w:p>
            <w:pPr>
              <w:pStyle w:val="Compact"/>
            </w:pPr>
            <w:r>
              <w:t xml:space="preserve">Physician effect modifier (and confounder if ρ ≠ 0)</w:t>
            </w:r>
          </w:p>
        </w:tc>
        <w:tc>
          <w:tcPr/>
          <w:p>
            <w:pPr>
              <w:pStyle w:val="Compact"/>
            </w:pPr>
            <w:r>
              <w:t xml:space="preserve">Technical skill, durability of PVI</w:t>
            </w:r>
          </w:p>
        </w:tc>
        <w:tc>
          <w:tcPr/>
          <w:p>
            <w:pPr>
              <w:pStyle w:val="Compact"/>
            </w:pPr>
            <w:r>
              <w:t xml:space="preserve">No (physician ID only)</w:t>
            </w:r>
          </w:p>
        </w:tc>
      </w:tr>
      <w:tr>
        <w:tc>
          <w:tcPr/>
          <w:p>
            <w:pPr>
              <w:pStyle w:val="Compact"/>
            </w:pPr>
            <w:r>
              <w:t xml:space="preserve">S</w:t>
            </w:r>
          </w:p>
        </w:tc>
        <w:tc>
          <w:tcPr/>
          <w:p>
            <w:pPr>
              <w:pStyle w:val="Compact"/>
            </w:pPr>
            <w:r>
              <w:t xml:space="preserve">Physician treatment driver; with factor 3 on, also an outcome driver</w:t>
            </w:r>
          </w:p>
        </w:tc>
        <w:tc>
          <w:tcPr/>
          <w:p>
            <w:pPr>
              <w:pStyle w:val="Compact"/>
            </w:pPr>
            <w:r>
              <w:t xml:space="preserve">Practice style /</w:t>
            </w:r>
            <w:r>
              <w:t xml:space="preserve"> </w:t>
            </w:r>
            <w:r>
              <w:t xml:space="preserve">“high user”</w:t>
            </w:r>
          </w:p>
        </w:tc>
        <w:tc>
          <w:tcPr/>
          <w:p>
            <w:pPr>
              <w:pStyle w:val="Compact"/>
            </w:pPr>
            <w:r>
              <w:t xml:space="preserve">No (physician ID, OBL)</w:t>
            </w:r>
          </w:p>
        </w:tc>
      </w:tr>
      <w:tr>
        <w:tc>
          <w:tcPr/>
          <w:p>
            <w:pPr>
              <w:pStyle w:val="Compact"/>
            </w:pPr>
            <w:r>
              <w:t xml:space="preserve">NCO-1, NCO-2, NCE</w:t>
            </w:r>
          </w:p>
        </w:tc>
        <w:tc>
          <w:tcPr/>
          <w:p>
            <w:pPr>
              <w:pStyle w:val="Compact"/>
            </w:pPr>
            <w:r>
              <w:t xml:space="preserve">Negative controls (true effect exactly 0)</w:t>
            </w:r>
          </w:p>
        </w:tc>
        <w:tc>
          <w:tcPr/>
          <w:p>
            <w:pPr>
              <w:pStyle w:val="Compact"/>
            </w:pPr>
            <w:r>
              <w:t xml:space="preserve">Hip fracture/pneumonia; vein ablation</w:t>
            </w:r>
          </w:p>
        </w:tc>
        <w:tc>
          <w:tcPr/>
          <w:p>
            <w:pPr>
              <w:pStyle w:val="Compact"/>
            </w:pPr>
            <w:r>
              <w:t xml:space="preserve">Yes</w:t>
            </w:r>
          </w:p>
        </w:tc>
      </w:tr>
      <w:tr>
        <w:tc>
          <w:tcPr/>
          <w:p>
            <w:pPr>
              <w:pStyle w:val="Compact"/>
            </w:pPr>
            <w:r>
              <w:t xml:space="preserve">E (supplement only)</w:t>
            </w:r>
          </w:p>
        </w:tc>
        <w:tc>
          <w:tcPr/>
          <w:p>
            <w:pPr>
              <w:pStyle w:val="Compact"/>
            </w:pPr>
            <w:r>
              <w:t xml:space="preserve">Unmeasured co-intervention</w:t>
            </w:r>
          </w:p>
        </w:tc>
        <w:tc>
          <w:tcPr/>
          <w:p>
            <w:pPr>
              <w:pStyle w:val="Compact"/>
            </w:pPr>
            <w:r>
              <w:t xml:space="preserve">Supervised exercise uptake</w:t>
            </w:r>
          </w:p>
        </w:tc>
        <w:tc>
          <w:tcPr/>
          <w:p>
            <w:pPr>
              <w:pStyle w:val="Compact"/>
            </w:pPr>
            <w:r>
              <w:t xml:space="preserve">No</w:t>
            </w:r>
          </w:p>
        </w:tc>
      </w:tr>
    </w:tbl>
    <w:p>
      <w:pPr>
        <w:pStyle w:val="Heading2"/>
      </w:pPr>
      <w:bookmarkStart w:id="18" w:name="_d8b90503a89dbd4e7b130dec092eb0975ed083b"/>
      <w:r>
        <w:t xml:space="preserve">5.2 Worlds (one factor at a time, D24)</w:t>
      </w:r>
      <w:bookmarkEnd w:id="18"/>
    </w:p>
    <w:p>
      <w:pPr>
        <w:pStyle w:val="FirstParagraph"/>
      </w:pPr>
      <w:r>
        <w:t xml:space="preserve">Every world is run under each of the three truth scenarios in §5.3.</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b/>
                <w:bCs/>
              </w:rPr>
              <w:t xml:space="preserve">World</w:t>
            </w:r>
          </w:p>
        </w:tc>
        <w:tc>
          <w:tcPr/>
          <w:p>
            <w:pPr>
              <w:pStyle w:val="Compact"/>
            </w:pPr>
            <w:r>
              <w:rPr>
                <w:b/>
                <w:bCs/>
              </w:rPr>
              <w:t xml:space="preserve">Skill (1)</w:t>
            </w:r>
          </w:p>
        </w:tc>
        <w:tc>
          <w:tcPr/>
          <w:p>
            <w:pPr>
              <w:pStyle w:val="Compact"/>
            </w:pPr>
            <w:r>
              <w:rPr>
                <w:b/>
                <w:bCs/>
              </w:rPr>
              <w:t xml:space="preserve">Style (2)</w:t>
            </w:r>
          </w:p>
        </w:tc>
        <w:tc>
          <w:tcPr/>
          <w:p>
            <w:pPr>
              <w:pStyle w:val="Compact"/>
            </w:pPr>
            <w:r>
              <w:rPr>
                <w:b/>
                <w:bCs/>
              </w:rPr>
              <w:t xml:space="preserve">Style → outcome (3)</w:t>
            </w:r>
          </w:p>
        </w:tc>
        <w:tc>
          <w:tcPr/>
          <w:p>
            <w:pPr>
              <w:pStyle w:val="Compact"/>
            </w:pPr>
            <w:r>
              <w:rPr>
                <w:b/>
                <w:bCs/>
              </w:rPr>
              <w:t xml:space="preserve">Deferral/crossover (4)</w:t>
            </w:r>
          </w:p>
        </w:tc>
        <w:tc>
          <w:tcPr/>
          <w:p>
            <w:pPr>
              <w:pStyle w:val="Compact"/>
            </w:pPr>
            <w:r>
              <w:rPr>
                <w:b/>
                <w:bCs/>
              </w:rPr>
              <w:t xml:space="preserve">Unmeasured severity (5)</w:t>
            </w:r>
          </w:p>
        </w:tc>
      </w:tr>
      <w:tr>
        <w:tc>
          <w:tcPr/>
          <w:p>
            <w:pPr>
              <w:pStyle w:val="Compact"/>
            </w:pPr>
            <w:r>
              <w:rPr>
                <w:b/>
                <w:bCs/>
              </w:rPr>
              <w:t xml:space="preserve">W0 Base (clean)</w:t>
            </w:r>
          </w:p>
        </w:tc>
        <w:tc>
          <w:tcPr/>
          <w:p>
            <w:pPr>
              <w:pStyle w:val="Compact"/>
            </w:pPr>
            <w:r>
              <w:t xml:space="preserve">σ_K = 0</w:t>
            </w:r>
          </w:p>
        </w:tc>
        <w:tc>
          <w:tcPr/>
          <w:p>
            <w:pPr>
              <w:pStyle w:val="Compact"/>
            </w:pPr>
            <w:r>
              <w:t xml:space="preserve">Modest σ_S</w:t>
            </w:r>
          </w:p>
        </w:tc>
        <w:tc>
          <w:tcPr/>
          <w:p>
            <w:pPr>
              <w:pStyle w:val="Compact"/>
            </w:pPr>
            <w:r>
              <w:t xml:space="preserve">Off</w:t>
            </w:r>
          </w:p>
        </w:tc>
        <w:tc>
          <w:tcPr/>
          <w:p>
            <w:pPr>
              <w:pStyle w:val="Compact"/>
            </w:pPr>
            <w:r>
              <w:t xml:space="preserve">Low, unrelated to severity</w:t>
            </w:r>
          </w:p>
        </w:tc>
        <w:tc>
          <w:tcPr/>
          <w:p>
            <w:pPr>
              <w:pStyle w:val="Compact"/>
            </w:pPr>
            <w:r>
              <w:t xml:space="preserve">Off: λ high, proxy ≈ Z</w:t>
            </w:r>
          </w:p>
        </w:tc>
      </w:tr>
      <w:tr>
        <w:tc>
          <w:tcPr/>
          <w:p>
            <w:pPr>
              <w:pStyle w:val="Compact"/>
            </w:pPr>
            <w:r>
              <w:t xml:space="preserve">W1 Skill</w:t>
            </w:r>
          </w:p>
        </w:tc>
        <w:tc>
          <w:tcPr/>
          <w:p>
            <w:pPr>
              <w:pStyle w:val="Compact"/>
            </w:pPr>
            <w:r>
              <w:t xml:space="preserve">σ_K &gt; 0, ρ = −0.3 (and ρ = 0)</w:t>
            </w:r>
          </w:p>
        </w:tc>
        <w:tc>
          <w:tcPr/>
          <w:p>
            <w:pPr>
              <w:pStyle w:val="Compact"/>
            </w:pPr>
            <w:r>
              <w:t xml:space="preserve">as W0</w:t>
            </w:r>
          </w:p>
        </w:tc>
        <w:tc>
          <w:tcPr/>
          <w:p>
            <w:pPr>
              <w:pStyle w:val="Compact"/>
            </w:pPr>
            <w:r>
              <w:t xml:space="preserve">Off</w:t>
            </w:r>
          </w:p>
        </w:tc>
        <w:tc>
          <w:tcPr/>
          <w:p>
            <w:pPr>
              <w:pStyle w:val="Compact"/>
            </w:pPr>
            <w:r>
              <w:t xml:space="preserve">as W0</w:t>
            </w:r>
          </w:p>
        </w:tc>
        <w:tc>
          <w:tcPr/>
          <w:p>
            <w:pPr>
              <w:pStyle w:val="Compact"/>
            </w:pPr>
            <w:r>
              <w:t xml:space="preserve">Off</w:t>
            </w:r>
          </w:p>
        </w:tc>
      </w:tr>
      <w:tr>
        <w:tc>
          <w:tcPr/>
          <w:p>
            <w:pPr>
              <w:pStyle w:val="Compact"/>
            </w:pPr>
            <w:r>
              <w:t xml:space="preserve">W2 Style</w:t>
            </w:r>
          </w:p>
        </w:tc>
        <w:tc>
          <w:tcPr/>
          <w:p>
            <w:pPr>
              <w:pStyle w:val="Compact"/>
            </w:pPr>
            <w:r>
              <w:t xml:space="preserve">as W0</w:t>
            </w:r>
          </w:p>
        </w:tc>
        <w:tc>
          <w:tcPr/>
          <w:p>
            <w:pPr>
              <w:pStyle w:val="Compact"/>
            </w:pPr>
            <w:r>
              <w:t xml:space="preserve">Strong σ_S, calibrated to the Hicks 2020 distribution</w:t>
            </w:r>
          </w:p>
        </w:tc>
        <w:tc>
          <w:tcPr/>
          <w:p>
            <w:pPr>
              <w:pStyle w:val="Compact"/>
            </w:pPr>
            <w:r>
              <w:t xml:space="preserve">Off</w:t>
            </w:r>
          </w:p>
        </w:tc>
        <w:tc>
          <w:tcPr/>
          <w:p>
            <w:pPr>
              <w:pStyle w:val="Compact"/>
            </w:pPr>
            <w:r>
              <w:t xml:space="preserve">as W0</w:t>
            </w:r>
          </w:p>
        </w:tc>
        <w:tc>
          <w:tcPr/>
          <w:p>
            <w:pPr>
              <w:pStyle w:val="Compact"/>
            </w:pPr>
            <w:r>
              <w:t xml:space="preserve">Off</w:t>
            </w:r>
          </w:p>
        </w:tc>
      </w:tr>
      <w:tr>
        <w:tc>
          <w:tcPr/>
          <w:p>
            <w:pPr>
              <w:pStyle w:val="Compact"/>
            </w:pPr>
            <w:r>
              <w:t xml:space="preserve">W3 Style → outcome</w:t>
            </w:r>
          </w:p>
        </w:tc>
        <w:tc>
          <w:tcPr/>
          <w:p>
            <w:pPr>
              <w:pStyle w:val="Compact"/>
            </w:pPr>
            <w:r>
              <w:t xml:space="preserve">as W0</w:t>
            </w:r>
          </w:p>
        </w:tc>
        <w:tc>
          <w:tcPr/>
          <w:p>
            <w:pPr>
              <w:pStyle w:val="Compact"/>
            </w:pPr>
            <w:r>
              <w:t xml:space="preserve">Strong</w:t>
            </w:r>
          </w:p>
        </w:tc>
        <w:tc>
          <w:tcPr/>
          <w:p>
            <w:pPr>
              <w:pStyle w:val="Compact"/>
            </w:pPr>
            <w:r>
              <w:rPr>
                <w:b/>
                <w:bCs/>
              </w:rPr>
              <w:t xml:space="preserve">On</w:t>
            </w:r>
          </w:p>
        </w:tc>
        <w:tc>
          <w:tcPr/>
          <w:p>
            <w:pPr>
              <w:pStyle w:val="Compact"/>
            </w:pPr>
            <w:r>
              <w:t xml:space="preserve">as W0</w:t>
            </w:r>
          </w:p>
        </w:tc>
        <w:tc>
          <w:tcPr/>
          <w:p>
            <w:pPr>
              <w:pStyle w:val="Compact"/>
            </w:pPr>
            <w:r>
              <w:t xml:space="preserve">Off</w:t>
            </w:r>
          </w:p>
        </w:tc>
      </w:tr>
      <w:tr>
        <w:tc>
          <w:tcPr/>
          <w:p>
            <w:pPr>
              <w:pStyle w:val="Compact"/>
            </w:pPr>
            <w:r>
              <w:t xml:space="preserve">W4 Deferral</w:t>
            </w:r>
          </w:p>
        </w:tc>
        <w:tc>
          <w:tcPr/>
          <w:p>
            <w:pPr>
              <w:pStyle w:val="Compact"/>
            </w:pPr>
            <w:r>
              <w:t xml:space="preserve">as W0</w:t>
            </w:r>
          </w:p>
        </w:tc>
        <w:tc>
          <w:tcPr/>
          <w:p>
            <w:pPr>
              <w:pStyle w:val="Compact"/>
            </w:pPr>
            <w:r>
              <w:t xml:space="preserve">as W0</w:t>
            </w:r>
          </w:p>
        </w:tc>
        <w:tc>
          <w:tcPr/>
          <w:p>
            <w:pPr>
              <w:pStyle w:val="Compact"/>
            </w:pPr>
            <w:r>
              <w:t xml:space="preserve">Off</w:t>
            </w:r>
          </w:p>
        </w:tc>
        <w:tc>
          <w:tcPr/>
          <w:p>
            <w:pPr>
              <w:pStyle w:val="Compact"/>
            </w:pPr>
            <w:r>
              <w:rPr>
                <w:b/>
                <w:bCs/>
              </w:rPr>
              <w:t xml:space="preserve">High, severity-driven after month 6</w:t>
            </w:r>
          </w:p>
        </w:tc>
        <w:tc>
          <w:tcPr/>
          <w:p>
            <w:pPr>
              <w:pStyle w:val="Compact"/>
            </w:pPr>
            <w:r>
              <w:t xml:space="preserve">Off</w:t>
            </w:r>
          </w:p>
        </w:tc>
      </w:tr>
      <w:tr>
        <w:tc>
          <w:tcPr/>
          <w:p>
            <w:pPr>
              <w:pStyle w:val="Compact"/>
            </w:pPr>
            <w:r>
              <w:t xml:space="preserve">W5 Unmeasured severity</w:t>
            </w:r>
          </w:p>
        </w:tc>
        <w:tc>
          <w:tcPr/>
          <w:p>
            <w:pPr>
              <w:pStyle w:val="Compact"/>
            </w:pPr>
            <w:r>
              <w:t xml:space="preserve">as W0</w:t>
            </w:r>
          </w:p>
        </w:tc>
        <w:tc>
          <w:tcPr/>
          <w:p>
            <w:pPr>
              <w:pStyle w:val="Compact"/>
            </w:pPr>
            <w:r>
              <w:t xml:space="preserve">as W0</w:t>
            </w:r>
          </w:p>
        </w:tc>
        <w:tc>
          <w:tcPr/>
          <w:p>
            <w:pPr>
              <w:pStyle w:val="Compact"/>
            </w:pPr>
            <w:r>
              <w:t xml:space="preserve">Off</w:t>
            </w:r>
          </w:p>
        </w:tc>
        <w:tc>
          <w:tcPr/>
          <w:p>
            <w:pPr>
              <w:pStyle w:val="Compact"/>
            </w:pPr>
            <w:r>
              <w:t xml:space="preserve">as W0</w:t>
            </w:r>
          </w:p>
        </w:tc>
        <w:tc>
          <w:tcPr/>
          <w:p>
            <w:pPr>
              <w:pStyle w:val="Compact"/>
            </w:pPr>
            <w:r>
              <w:rPr>
                <w:b/>
                <w:bCs/>
              </w:rPr>
              <w:t xml:space="preserve">On: λ low (proxy–Z correlation ≈ 0.4), frailty index noisy</w:t>
            </w:r>
          </w:p>
        </w:tc>
      </w:tr>
      <w:tr>
        <w:tc>
          <w:tcPr/>
          <w:p>
            <w:pPr>
              <w:pStyle w:val="Compact"/>
            </w:pPr>
            <w:r>
              <w:rPr>
                <w:b/>
                <w:bCs/>
              </w:rPr>
              <w:t xml:space="preserve">WR Realistic</w:t>
            </w:r>
          </w:p>
        </w:tc>
        <w:tc>
          <w:tcPr/>
          <w:p>
            <w:pPr>
              <w:pStyle w:val="Compact"/>
            </w:pPr>
            <w:r>
              <w:t xml:space="preserve">On</w:t>
            </w:r>
          </w:p>
        </w:tc>
        <w:tc>
          <w:tcPr/>
          <w:p>
            <w:pPr>
              <w:pStyle w:val="Compact"/>
            </w:pPr>
            <w:r>
              <w:t xml:space="preserve">Strong</w:t>
            </w:r>
          </w:p>
        </w:tc>
        <w:tc>
          <w:tcPr/>
          <w:p>
            <w:pPr>
              <w:pStyle w:val="Compact"/>
            </w:pPr>
            <w:r>
              <w:t xml:space="preserve">On</w:t>
            </w:r>
          </w:p>
        </w:tc>
        <w:tc>
          <w:tcPr/>
          <w:p>
            <w:pPr>
              <w:pStyle w:val="Compact"/>
            </w:pPr>
            <w:r>
              <w:t xml:space="preserve">High</w:t>
            </w:r>
          </w:p>
        </w:tc>
        <w:tc>
          <w:tcPr/>
          <w:p>
            <w:pPr>
              <w:pStyle w:val="Compact"/>
            </w:pPr>
            <w:r>
              <w:t xml:space="preserve">On</w:t>
            </w:r>
          </w:p>
        </w:tc>
      </w:tr>
    </w:tbl>
    <w:p>
      <w:pPr>
        <w:pStyle w:val="FirstParagraph"/>
      </w:pPr>
      <w:r>
        <w:t xml:space="preserve">W1 is run at both ρ = −0.3 and ρ = 0 (D22). WR is calibrated to the Medicare targets in §5.4.</w:t>
      </w:r>
    </w:p>
    <w:p>
      <w:pPr>
        <w:pStyle w:val="Heading2"/>
      </w:pPr>
      <w:bookmarkStart w:id="19" w:name="_164555a16fba77c48ce65c63c8c2a4db397d225"/>
      <w:r>
        <w:t xml:space="preserve">5.3 Truth scenarios</w:t>
      </w:r>
      <w:bookmarkEnd w:id="1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Scenario</w:t>
            </w:r>
          </w:p>
        </w:tc>
        <w:tc>
          <w:tcPr/>
          <w:p>
            <w:pPr>
              <w:pStyle w:val="Compact"/>
            </w:pPr>
            <w:r>
              <w:rPr>
                <w:b/>
                <w:bCs/>
              </w:rPr>
              <w:t xml:space="preserve">Mechanism</w:t>
            </w:r>
          </w:p>
        </w:tc>
        <w:tc>
          <w:tcPr/>
          <w:p>
            <w:pPr>
              <w:pStyle w:val="Compact"/>
            </w:pPr>
            <w:r>
              <w:rPr>
                <w:b/>
                <w:bCs/>
              </w:rPr>
              <w:t xml:space="preserve">Target</w:t>
            </w:r>
          </w:p>
        </w:tc>
      </w:tr>
      <w:tr>
        <w:tc>
          <w:tcPr/>
          <w:p>
            <w:pPr>
              <w:pStyle w:val="Compact"/>
            </w:pPr>
            <w:r>
              <w:rPr>
                <w:b/>
                <w:bCs/>
              </w:rPr>
              <w:t xml:space="preserve">Null (sharp disease null, D34)</w:t>
            </w:r>
          </w:p>
        </w:tc>
        <w:tc>
          <w:tcPr/>
          <w:p>
            <w:pPr>
              <w:pStyle w:val="Compact"/>
            </w:pPr>
            <w:r>
              <w:t xml:space="preserve">Δ = 0, κ = 0: PVI changes nothing about severity, CLTI, amputation, bypass or death</w:t>
            </w:r>
          </w:p>
        </w:tc>
        <w:tc>
          <w:tcPr/>
          <w:p>
            <w:pPr>
              <w:pStyle w:val="Compact"/>
            </w:pPr>
            <w:r>
              <w:t xml:space="preserve">RD(A − B1) = 0</w:t>
            </w:r>
            <w:r>
              <w:t xml:space="preserve"> </w:t>
            </w:r>
            <w:r>
              <w:rPr>
                <w:b/>
                <w:bCs/>
              </w:rPr>
              <w:t xml:space="preserve">exactly</w:t>
            </w:r>
            <w:r>
              <w:t xml:space="preserve"> </w:t>
            </w:r>
            <w:r>
              <w:t xml:space="preserve">for the disease composite (CLTI or major amputation) and every disease component. MALE is still &gt; 0, because only patients who have had a PVI can have a repeat revascularization: this is the mechanical effect of how the outcome is defined, and it is reported as a finding</w:t>
            </w:r>
          </w:p>
        </w:tc>
      </w:tr>
      <w:tr>
        <w:tc>
          <w:tcPr/>
          <w:p>
            <w:pPr>
              <w:pStyle w:val="Compact"/>
            </w:pPr>
            <w:r>
              <w:rPr>
                <w:b/>
                <w:bCs/>
              </w:rPr>
              <w:t xml:space="preserve">Harm</w:t>
            </w:r>
          </w:p>
        </w:tc>
        <w:tc>
          <w:tcPr/>
          <w:p>
            <w:pPr>
              <w:pStyle w:val="Compact"/>
            </w:pPr>
            <w:r>
              <w:t xml:space="preserve">Δ small, κ moderate</w:t>
            </w:r>
          </w:p>
        </w:tc>
        <w:tc>
          <w:tcPr/>
          <w:p>
            <w:pPr>
              <w:pStyle w:val="Compact"/>
            </w:pPr>
            <w:r>
              <w:t xml:space="preserve">RD(A − B1) ≈ +5 percentage points</w:t>
            </w:r>
          </w:p>
        </w:tc>
      </w:tr>
      <w:tr>
        <w:tc>
          <w:tcPr/>
          <w:p>
            <w:pPr>
              <w:pStyle w:val="Compact"/>
            </w:pPr>
            <w:r>
              <w:rPr>
                <w:b/>
                <w:bCs/>
              </w:rPr>
              <w:t xml:space="preserve">Benefit then harm</w:t>
            </w:r>
          </w:p>
        </w:tc>
        <w:tc>
          <w:tcPr/>
          <w:p>
            <w:pPr>
              <w:pStyle w:val="Compact"/>
            </w:pPr>
            <w:r>
              <w:t xml:space="preserve">Δ large, κ moderate</w:t>
            </w:r>
          </w:p>
        </w:tc>
        <w:tc>
          <w:tcPr/>
          <w:p>
            <w:pPr>
              <w:pStyle w:val="Compact"/>
            </w:pPr>
            <w:r>
              <w:t xml:space="preserve">Cumulative incidence curves cross: A lower before about month 18, higher at 60</w:t>
            </w:r>
          </w:p>
        </w:tc>
      </w:tr>
    </w:tbl>
    <w:p>
      <w:pPr>
        <w:pStyle w:val="Heading2"/>
      </w:pPr>
      <w:bookmarkStart w:id="20" w:name="_8b25b7a52898f1968f7f589f2d20a9388203001"/>
      <w:r>
        <w:t xml:space="preserve">5.4 Calibration targets for the usual-care world (WR)</w:t>
      </w:r>
      <w:bookmarkEnd w:id="20"/>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Target</w:t>
            </w:r>
          </w:p>
        </w:tc>
        <w:tc>
          <w:tcPr/>
          <w:p>
            <w:pPr>
              <w:pStyle w:val="Compact"/>
            </w:pPr>
            <w:r>
              <w:rPr>
                <w:b/>
                <w:bCs/>
              </w:rPr>
              <w:t xml:space="preserve">Value</w:t>
            </w:r>
          </w:p>
        </w:tc>
        <w:tc>
          <w:tcPr/>
          <w:p>
            <w:pPr>
              <w:pStyle w:val="Compact"/>
            </w:pPr>
            <w:r>
              <w:rPr>
                <w:b/>
                <w:bCs/>
              </w:rPr>
              <w:t xml:space="preserve">Source</w:t>
            </w:r>
          </w:p>
        </w:tc>
      </w:tr>
      <w:tr>
        <w:tc>
          <w:tcPr/>
          <w:p>
            <w:pPr>
              <w:pStyle w:val="Compact"/>
            </w:pPr>
            <w:r>
              <w:t xml:space="preserve">Early PVI (≤6 months)</w:t>
            </w:r>
          </w:p>
        </w:tc>
        <w:tc>
          <w:tcPr/>
          <w:p>
            <w:pPr>
              <w:pStyle w:val="Compact"/>
            </w:pPr>
            <w:r>
              <w:t xml:space="preserve">3.2%</w:t>
            </w:r>
          </w:p>
        </w:tc>
        <w:tc>
          <w:tcPr/>
          <w:p>
            <w:pPr>
              <w:pStyle w:val="Compact"/>
            </w:pPr>
            <w:r>
              <w:t xml:space="preserve">Hicks 2020 (31208940); Sorber 2023 (37276171)</w:t>
            </w:r>
          </w:p>
        </w:tc>
      </w:tr>
      <w:tr>
        <w:tc>
          <w:tcPr/>
          <w:p>
            <w:pPr>
              <w:pStyle w:val="Compact"/>
            </w:pPr>
            <w:r>
              <w:t xml:space="preserve">Physician early-PVI rate</w:t>
            </w:r>
          </w:p>
        </w:tc>
        <w:tc>
          <w:tcPr/>
          <w:p>
            <w:pPr>
              <w:pStyle w:val="Compact"/>
            </w:pPr>
            <w:r>
              <w:t xml:space="preserve">median 0%, range 0–58%, about 5.6% of physicians ≥2 SD outliers</w:t>
            </w:r>
          </w:p>
        </w:tc>
        <w:tc>
          <w:tcPr/>
          <w:p>
            <w:pPr>
              <w:pStyle w:val="Compact"/>
            </w:pPr>
            <w:r>
              <w:t xml:space="preserve">Hicks 2020</w:t>
            </w:r>
          </w:p>
        </w:tc>
      </w:tr>
      <w:tr>
        <w:tc>
          <w:tcPr/>
          <w:p>
            <w:pPr>
              <w:pStyle w:val="Compact"/>
            </w:pPr>
            <w:r>
              <w:t xml:space="preserve">OBL/ASC share of PVI</w:t>
            </w:r>
          </w:p>
        </w:tc>
        <w:tc>
          <w:tcPr/>
          <w:p>
            <w:pPr>
              <w:pStyle w:val="Compact"/>
            </w:pPr>
            <w:r>
              <w:t xml:space="preserve">about 50%</w:t>
            </w:r>
          </w:p>
        </w:tc>
        <w:tc>
          <w:tcPr/>
          <w:p>
            <w:pPr>
              <w:pStyle w:val="Compact"/>
            </w:pPr>
            <w:r>
              <w:t xml:space="preserve">Dun 2024 (38958132)</w:t>
            </w:r>
          </w:p>
        </w:tc>
      </w:tr>
      <w:tr>
        <w:tc>
          <w:tcPr/>
          <w:p>
            <w:pPr>
              <w:pStyle w:val="Compact"/>
            </w:pPr>
            <w:r>
              <w:t xml:space="preserve">Late PVI (&gt;6 months, ~4.4 years)</w:t>
            </w:r>
          </w:p>
        </w:tc>
        <w:tc>
          <w:tcPr/>
          <w:p>
            <w:pPr>
              <w:pStyle w:val="Compact"/>
            </w:pPr>
            <w:r>
              <w:t xml:space="preserve">22.5% after early PVI vs 3.6% without</w:t>
            </w:r>
          </w:p>
        </w:tc>
        <w:tc>
          <w:tcPr/>
          <w:p>
            <w:pPr>
              <w:pStyle w:val="Compact"/>
            </w:pPr>
            <w:r>
              <w:t xml:space="preserve">Sorber 2023</w:t>
            </w:r>
          </w:p>
        </w:tc>
      </w:tr>
      <w:tr>
        <w:tc>
          <w:tcPr/>
          <w:p>
            <w:pPr>
              <w:pStyle w:val="Compact"/>
            </w:pPr>
            <w:r>
              <w:t xml:space="preserve">CLTI (~4.4 years)</w:t>
            </w:r>
          </w:p>
        </w:tc>
        <w:tc>
          <w:tcPr/>
          <w:p>
            <w:pPr>
              <w:pStyle w:val="Compact"/>
            </w:pPr>
            <w:r>
              <w:t xml:space="preserve">16.4% vs 7.8%</w:t>
            </w:r>
          </w:p>
        </w:tc>
        <w:tc>
          <w:tcPr/>
          <w:p>
            <w:pPr>
              <w:pStyle w:val="Compact"/>
            </w:pPr>
            <w:r>
              <w:t xml:space="preserve">Sorber 2023</w:t>
            </w:r>
          </w:p>
        </w:tc>
      </w:tr>
      <w:tr>
        <w:tc>
          <w:tcPr/>
          <w:p>
            <w:pPr>
              <w:pStyle w:val="Compact"/>
            </w:pPr>
            <w:r>
              <w:t xml:space="preserve">Mean age</w:t>
            </w:r>
          </w:p>
        </w:tc>
        <w:tc>
          <w:tcPr/>
          <w:p>
            <w:pPr>
              <w:pStyle w:val="Compact"/>
            </w:pPr>
            <w:r>
              <w:t xml:space="preserve">about 76</w:t>
            </w:r>
          </w:p>
        </w:tc>
        <w:tc>
          <w:tcPr/>
          <w:p>
            <w:pPr>
              <w:pStyle w:val="Compact"/>
            </w:pPr>
            <w:r>
              <w:t xml:space="preserve">Dun 2025 (40782724)</w:t>
            </w:r>
          </w:p>
        </w:tc>
      </w:tr>
      <w:tr>
        <w:tc>
          <w:tcPr/>
          <w:p>
            <w:pPr>
              <w:pStyle w:val="Compact"/>
            </w:pPr>
            <w:r>
              <w:t xml:space="preserve">All-cause mortality</w:t>
            </w:r>
          </w:p>
        </w:tc>
        <w:tc>
          <w:tcPr/>
          <w:p>
            <w:pPr>
              <w:pStyle w:val="Compact"/>
            </w:pPr>
            <w:r>
              <w:t xml:space="preserve">Interim target about 35% at 5 years (Swedish population cohort: 10-year mortality in IC 63% vs 27% reference).</w:t>
            </w:r>
            <w:r>
              <w:t xml:space="preserve"> </w:t>
            </w:r>
            <w:r>
              <w:rPr>
                <w:b/>
                <w:bCs/>
              </w:rPr>
              <w:t xml:space="preserve">Replace with the 5-year mortality of the authors’ own Medicare claudication cohort</w:t>
            </w:r>
            <w:r>
              <w:t xml:space="preserve"> </w:t>
            </w:r>
            <w:r>
              <w:t xml:space="preserve">(Sorber 2023 / VESS 2026 data)</w:t>
            </w:r>
          </w:p>
        </w:tc>
        <w:tc>
          <w:tcPr/>
          <w:p>
            <w:pPr>
              <w:pStyle w:val="Compact"/>
            </w:pPr>
            <w:r>
              <w:t xml:space="preserve">Sigvant 2018</w:t>
            </w:r>
            <w:r>
              <w:t xml:space="preserve"> </w:t>
            </w:r>
            <w:r>
              <w:rPr>
                <w:i/>
                <w:iCs/>
              </w:rPr>
              <w:t xml:space="preserve">EJVES</w:t>
            </w:r>
            <w:r>
              <w:t xml:space="preserve"> </w:t>
            </w:r>
            <w:r>
              <w:t xml:space="preserve">(29478910); cardiovascular-only 5-year mortality 14–16%: Baubeta Fridh 2018</w:t>
            </w:r>
            <w:r>
              <w:t xml:space="preserve"> </w:t>
            </w:r>
            <w:r>
              <w:rPr>
                <w:i/>
                <w:iCs/>
              </w:rPr>
              <w:t xml:space="preserve">BJS</w:t>
            </w:r>
            <w:r>
              <w:t xml:space="preserve"> </w:t>
            </w:r>
            <w:r>
              <w:t xml:space="preserve">(29116654)</w:t>
            </w:r>
          </w:p>
        </w:tc>
      </w:tr>
      <w:tr>
        <w:tc>
          <w:tcPr/>
          <w:p>
            <w:pPr>
              <w:pStyle w:val="Compact"/>
            </w:pPr>
            <w:r>
              <w:t xml:space="preserve">Amputation</w:t>
            </w:r>
          </w:p>
        </w:tc>
        <w:tc>
          <w:tcPr/>
          <w:p>
            <w:pPr>
              <w:pStyle w:val="Compact"/>
            </w:pPr>
            <w:r>
              <w:t xml:space="preserve">about 0.4%/year after revascularization for IC</w:t>
            </w:r>
          </w:p>
        </w:tc>
        <w:tc>
          <w:tcPr/>
          <w:p>
            <w:pPr>
              <w:pStyle w:val="Compact"/>
            </w:pPr>
            <w:r>
              <w:t xml:space="preserve">Baubeta Fridh 2017 (28797662)</w:t>
            </w:r>
          </w:p>
        </w:tc>
      </w:tr>
    </w:tbl>
    <w:p>
      <w:pPr>
        <w:pStyle w:val="FirstParagraph"/>
      </w:pPr>
      <w:r>
        <w:t xml:space="preserve">Calibration solves for the intercepts and the key coefficients (α₀, α_S, σ_S, β_def, the outcome intercepts) by stochastic approximation on 10⁵ patients, as in</w:t>
      </w:r>
      <w:r>
        <w:t xml:space="preserve"> </w:t>
      </w:r>
      <w:r>
        <w:rPr>
          <w:rStyle w:val="VerbatimChar"/>
        </w:rPr>
        <w:t xml:space="preserve">tte-papers/simulations/01_calibrate.R</w:t>
      </w:r>
      <w:r>
        <w:t xml:space="preserve">.</w:t>
      </w:r>
    </w:p>
    <w:p>
      <w:pPr>
        <w:pStyle w:val="Heading2"/>
      </w:pPr>
      <w:bookmarkStart w:id="21" w:name="_3ef47f871fcfdf869968cc19878bf63fda2b34d"/>
      <w:r>
        <w:t xml:space="preserve">5.5 Computing the truths</w:t>
      </w:r>
      <w:bookmarkEnd w:id="21"/>
    </w:p>
    <w:p>
      <w:pPr>
        <w:pStyle w:val="FirstParagraph"/>
      </w:pPr>
      <w:r>
        <w:t xml:space="preserve">Truths come from simulating 10⁶ patients, reusing the physicians, under each intervention. The latent processes stay the same; only the PVI decision is overridden.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Estimand</w:t>
            </w:r>
          </w:p>
        </w:tc>
        <w:tc>
          <w:tcPr/>
          <w:p>
            <w:pPr>
              <w:pStyle w:val="Compact"/>
            </w:pPr>
            <w:r>
              <w:rPr>
                <w:b/>
                <w:bCs/>
              </w:rPr>
              <w:t xml:space="preserve">Intervention used for the truth</w:t>
            </w:r>
          </w:p>
        </w:tc>
      </w:tr>
      <w:tr>
        <w:tc>
          <w:tcPr/>
          <w:p>
            <w:pPr>
              <w:pStyle w:val="Compact"/>
            </w:pPr>
            <w:r>
              <w:t xml:space="preserve">A</w:t>
            </w:r>
          </w:p>
        </w:tc>
        <w:tc>
          <w:tcPr/>
          <w:p>
            <w:pPr>
              <w:pStyle w:val="Compact"/>
            </w:pPr>
            <w:r>
              <w:t xml:space="preserve">Natural PVI hazard in months 0–4. Everyone still untreated, alive and MALE-free gets PVI at month 5 (the</w:t>
            </w:r>
            <w:r>
              <w:t xml:space="preserve"> </w:t>
            </w:r>
            <w:r>
              <w:t xml:space="preserve">“natural grace”</w:t>
            </w:r>
            <w:r>
              <w:t xml:space="preserve"> </w:t>
            </w:r>
            <w:r>
              <w:t xml:space="preserve">strategy that CCW with end-of-window censoring targets; Wanis 2024)</w:t>
            </w:r>
          </w:p>
        </w:tc>
      </w:tr>
      <w:tr>
        <w:tc>
          <w:tcPr/>
          <w:p>
            <w:pPr>
              <w:pStyle w:val="Compact"/>
            </w:pPr>
            <w:r>
              <w:t xml:space="preserve">B1</w:t>
            </w:r>
          </w:p>
        </w:tc>
        <w:tc>
          <w:tcPr/>
          <w:p>
            <w:pPr>
              <w:pStyle w:val="Compact"/>
            </w:pPr>
            <w:r>
              <w:t xml:space="preserve">PVI hazard = 0 in months 0–5, then natural</w:t>
            </w:r>
          </w:p>
        </w:tc>
      </w:tr>
      <w:tr>
        <w:tc>
          <w:tcPr/>
          <w:p>
            <w:pPr>
              <w:pStyle w:val="Compact"/>
            </w:pPr>
            <w:r>
              <w:t xml:space="preserve">B2</w:t>
            </w:r>
          </w:p>
        </w:tc>
        <w:tc>
          <w:tcPr/>
          <w:p>
            <w:pPr>
              <w:pStyle w:val="Compact"/>
            </w:pPr>
            <w:r>
              <w:t xml:space="preserve">PVI hazard = 0 at all times before MALE</w:t>
            </w:r>
          </w:p>
        </w:tc>
      </w:tr>
      <w:tr>
        <w:tc>
          <w:tcPr/>
          <w:p>
            <w:pPr>
              <w:pStyle w:val="Compact"/>
            </w:pPr>
            <w:r>
              <w:t xml:space="preserve">Sequential-trial ITT</w:t>
            </w:r>
          </w:p>
        </w:tc>
        <w:tc>
          <w:tcPr/>
          <w:p>
            <w:pPr>
              <w:pStyle w:val="Compact"/>
            </w:pPr>
            <w:r>
              <w:t xml:space="preserve">For each m = 0–5, take the natural-course population eligible at m. Force PVI at m vs no PVI at m (natural course afterwards in both). Pool over m, weighted by the number eligible</w:t>
            </w:r>
          </w:p>
        </w:tc>
      </w:tr>
      <w:tr>
        <w:tc>
          <w:tcPr/>
          <w:p>
            <w:pPr>
              <w:pStyle w:val="Compact"/>
            </w:pPr>
            <w:r>
              <w:t xml:space="preserve">Landmark</w:t>
            </w:r>
          </w:p>
        </w:tc>
        <w:tc>
          <w:tcPr/>
          <w:p>
            <w:pPr>
              <w:pStyle w:val="Compact"/>
            </w:pPr>
            <w:r>
              <w:t xml:space="preserve">No interventional definition, because the comparison is among survivors of the observed regime. Its own estimand is the</w:t>
            </w:r>
            <w:r>
              <w:t xml:space="preserve"> </w:t>
            </w:r>
            <w:r>
              <w:rPr>
                <w:b/>
                <w:bCs/>
              </w:rPr>
              <w:t xml:space="preserve">oracle large-sample limit</w:t>
            </w:r>
            <w:r>
              <w:t xml:space="preserve">: the landmark IPW estimator on 10⁷ patients, with latent Z and F included in the weight model</w:t>
            </w:r>
          </w:p>
        </w:tc>
      </w:tr>
      <w:tr>
        <w:tc>
          <w:tcPr/>
          <w:p>
            <w:pPr>
              <w:pStyle w:val="Compact"/>
            </w:pPr>
            <w:r>
              <w:t xml:space="preserve">Naive</w:t>
            </w:r>
          </w:p>
        </w:tc>
        <w:tc>
          <w:tcPr/>
          <w:p>
            <w:pPr>
              <w:pStyle w:val="Compact"/>
            </w:pPr>
            <w:r>
              <w:t xml:space="preserve">No own estimand. Only total error against the reference is reported</w:t>
            </w:r>
          </w:p>
        </w:tc>
      </w:tr>
      <w:tr>
        <w:tc>
          <w:tcPr/>
          <w:p>
            <w:pPr>
              <w:pStyle w:val="Compact"/>
            </w:pPr>
            <w:r>
              <w:t xml:space="preserve">Realistic RCT ITT</w:t>
            </w:r>
          </w:p>
        </w:tc>
        <w:tc>
          <w:tcPr/>
          <w:p>
            <w:pPr>
              <w:pStyle w:val="Compact"/>
            </w:pPr>
            <w:r>
              <w:t xml:space="preserve">Simulate the trial population (hospital-based, top-third skill, low-style physicians; eligible patients), with assignment to A or B under natural adherence (refusal in A; severity-triggered crossover in B)</w:t>
            </w:r>
          </w:p>
        </w:tc>
      </w:tr>
      <w:tr>
        <w:tc>
          <w:tcPr/>
          <w:p>
            <w:pPr>
              <w:pStyle w:val="Compact"/>
            </w:pPr>
            <w:r>
              <w:t xml:space="preserve">Ideal pragmatic RCT ITT</w:t>
            </w:r>
          </w:p>
        </w:tc>
        <w:tc>
          <w:tcPr/>
          <w:p>
            <w:pPr>
              <w:pStyle w:val="Compact"/>
            </w:pPr>
            <w:r>
              <w:t xml:space="preserve">Same, with all physicians</w:t>
            </w:r>
          </w:p>
        </w:tc>
      </w:tr>
    </w:tbl>
    <w:p>
      <w:pPr>
        <w:pStyle w:val="FirstParagraph"/>
      </w:pPr>
      <w:r>
        <w:t xml:space="preserve">Truths are stored in</w:t>
      </w:r>
      <w:r>
        <w:t xml:space="preserve"> </w:t>
      </w:r>
      <w:r>
        <w:rPr>
          <w:rStyle w:val="VerbatimChar"/>
        </w:rPr>
        <w:t xml:space="preserve">simulations/truths/</w:t>
      </w:r>
      <w:r>
        <w:t xml:space="preserve"> </w:t>
      </w:r>
      <w:r>
        <w:t xml:space="preserve">as small committed CSVs, and each has its own Monte Carlo SE.</w:t>
      </w:r>
    </w:p>
    <w:p>
      <w:pPr>
        <w:pStyle w:val="Heading1"/>
      </w:pPr>
      <w:bookmarkStart w:id="22" w:name="_05b890fe7d68683dced334901f122a2ada49849"/>
      <w:r>
        <w:t xml:space="preserve">6. Estimands, in plain words (for the main text)</w:t>
      </w:r>
      <w:bookmarkEnd w:id="22"/>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Method</w:t>
            </w:r>
          </w:p>
        </w:tc>
        <w:tc>
          <w:tcPr/>
          <w:p>
            <w:pPr>
              <w:pStyle w:val="Compact"/>
            </w:pPr>
            <w:r>
              <w:rPr>
                <w:b/>
                <w:bCs/>
              </w:rPr>
              <w:t xml:space="preserve">The question it answers</w:t>
            </w:r>
          </w:p>
        </w:tc>
      </w:tr>
      <w:tr>
        <w:tc>
          <w:tcPr/>
          <w:p>
            <w:pPr>
              <w:pStyle w:val="Compact"/>
            </w:pPr>
            <w:r>
              <w:t xml:space="preserve">CCW, A vs B1 (the reference)</w:t>
            </w:r>
          </w:p>
        </w:tc>
        <w:tc>
          <w:tcPr/>
          <w:p>
            <w:pPr>
              <w:pStyle w:val="Compact"/>
            </w:pPr>
            <w:r>
              <w:t xml:space="preserve">“If every newly diagnosed claudicant had PVI within 6 months, compared with if every one waited 6 months and was then treated as usual, how different would 5-year MALE be?”</w:t>
            </w:r>
          </w:p>
        </w:tc>
      </w:tr>
      <w:tr>
        <w:tc>
          <w:tcPr/>
          <w:p>
            <w:pPr>
              <w:pStyle w:val="Compact"/>
            </w:pPr>
            <w:r>
              <w:t xml:space="preserve">CCW, A vs B2</w:t>
            </w:r>
          </w:p>
        </w:tc>
        <w:tc>
          <w:tcPr/>
          <w:p>
            <w:pPr>
              <w:pStyle w:val="Compact"/>
            </w:pPr>
            <w:r>
              <w:t xml:space="preserve">“…compared with if no one ever had an elective PVI?”</w:t>
            </w:r>
            <w:r>
              <w:t xml:space="preserve"> </w:t>
            </w:r>
            <w:r>
              <w:t xml:space="preserve">(abstention, not deferral)</w:t>
            </w:r>
          </w:p>
        </w:tc>
      </w:tr>
      <w:tr>
        <w:tc>
          <w:tcPr/>
          <w:p>
            <w:pPr>
              <w:pStyle w:val="Compact"/>
            </w:pPr>
            <w:r>
              <w:t xml:space="preserve">Sequential trials, ITT</w:t>
            </w:r>
          </w:p>
        </w:tc>
        <w:tc>
          <w:tcPr/>
          <w:p>
            <w:pPr>
              <w:pStyle w:val="Compact"/>
            </w:pPr>
            <w:r>
              <w:t xml:space="preserve">“For a patient who is still eligible this month, what does doing the PVI now change, compared with not now (perhaps later)?”</w:t>
            </w:r>
          </w:p>
        </w:tc>
      </w:tr>
      <w:tr>
        <w:tc>
          <w:tcPr/>
          <w:p>
            <w:pPr>
              <w:pStyle w:val="Compact"/>
            </w:pPr>
            <w:r>
              <w:t xml:space="preserve">Landmark at 6 months</w:t>
            </w:r>
          </w:p>
        </w:tc>
        <w:tc>
          <w:tcPr/>
          <w:p>
            <w:pPr>
              <w:pStyle w:val="Compact"/>
            </w:pPr>
            <w:r>
              <w:t xml:space="preserve">“Among patients still alive and MALE-free at 6 months, how do those who happened to have a PVI differ from those who didn’t?”</w:t>
            </w:r>
          </w:p>
        </w:tc>
      </w:tr>
      <w:tr>
        <w:tc>
          <w:tcPr/>
          <w:p>
            <w:pPr>
              <w:pStyle w:val="Compact"/>
            </w:pPr>
            <w:r>
              <w:t xml:space="preserve">Naive</w:t>
            </w:r>
            <w:r>
              <w:t xml:space="preserve"> </w:t>
            </w:r>
            <w:r>
              <w:t xml:space="preserve">“ever early PVI”</w:t>
            </w:r>
          </w:p>
        </w:tc>
        <w:tc>
          <w:tcPr/>
          <w:p>
            <w:pPr>
              <w:pStyle w:val="Compact"/>
            </w:pPr>
            <w:r>
              <w:t xml:space="preserve">No well-defined question (immortal time)</w:t>
            </w:r>
          </w:p>
        </w:tc>
      </w:tr>
      <w:tr>
        <w:tc>
          <w:tcPr/>
          <w:p>
            <w:pPr>
              <w:pStyle w:val="Compact"/>
            </w:pPr>
            <w:r>
              <w:t xml:space="preserve">Realistic RCT, ITT</w:t>
            </w:r>
          </w:p>
        </w:tc>
        <w:tc>
          <w:tcPr/>
          <w:p>
            <w:pPr>
              <w:pStyle w:val="Compact"/>
            </w:pPr>
            <w:r>
              <w:t xml:space="preserve">“Among patients that selected, skilled, low-intervention surgeons are willing to randomize, what does</w:t>
            </w:r>
            <w:r>
              <w:t xml:space="preserve"> </w:t>
            </w:r>
            <w:r>
              <w:rPr>
                <w:i/>
                <w:iCs/>
              </w:rPr>
              <w:t xml:space="preserve">assigning</w:t>
            </w:r>
            <w:r>
              <w:t xml:space="preserve"> </w:t>
            </w:r>
            <w:r>
              <w:t xml:space="preserve">early PVI change, given that some patients refuse it and some controls cross over?”</w:t>
            </w:r>
          </w:p>
        </w:tc>
      </w:tr>
      <w:tr>
        <w:tc>
          <w:tcPr/>
          <w:p>
            <w:pPr>
              <w:pStyle w:val="Compact"/>
            </w:pPr>
            <w:r>
              <w:t xml:space="preserve">Ideal pragmatic RCT, ITT</w:t>
            </w:r>
          </w:p>
        </w:tc>
        <w:tc>
          <w:tcPr/>
          <w:p>
            <w:pPr>
              <w:pStyle w:val="Compact"/>
            </w:pPr>
            <w:r>
              <w:t xml:space="preserve">Same, for all surgeons</w:t>
            </w:r>
          </w:p>
        </w:tc>
      </w:tr>
    </w:tbl>
    <w:p>
      <w:pPr>
        <w:pStyle w:val="Heading1"/>
      </w:pPr>
      <w:bookmarkStart w:id="23" w:name="_b84b4eebffb2df72af1f650b630a0c1796abf72"/>
      <w:r>
        <w:t xml:space="preserve">7. Methods grid</w:t>
      </w:r>
      <w:bookmarkEnd w:id="23"/>
    </w:p>
    <w:p>
      <w:pPr>
        <w:pStyle w:val="FirstParagraph"/>
      </w:pPr>
      <w:r>
        <w:rPr>
          <w:b/>
          <w:bCs/>
        </w:rPr>
        <w:t xml:space="preserve">Adjustment (D26).</w:t>
      </w:r>
      <w:r>
        <w:t xml:space="preserve"> </w:t>
      </w:r>
      <w:r>
        <w:t xml:space="preserve">The same machinery is used everywhere. Inverse-probability weights come from pooled logistic models on the measured covariates (X, frailty index, P_t history, OBL, year). Weighted cause-specific pooled logistic hazards for MALE and death are fitted with flexible time terms and combined into standardized cumulative incidence at month 60. Weights are truncated at the 99.5th percentile in a supplementary analysis only.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Method</w:t>
            </w:r>
          </w:p>
        </w:tc>
        <w:tc>
          <w:tcPr/>
          <w:p>
            <w:pPr>
              <w:pStyle w:val="Compact"/>
            </w:pPr>
            <w:r>
              <w:rPr>
                <w:b/>
                <w:bCs/>
              </w:rPr>
              <w:t xml:space="preserve">Weights</w:t>
            </w:r>
          </w:p>
        </w:tc>
        <w:tc>
          <w:tcPr/>
          <w:p>
            <w:pPr>
              <w:pStyle w:val="Compact"/>
            </w:pPr>
            <w:r>
              <w:rPr>
                <w:b/>
                <w:bCs/>
              </w:rPr>
              <w:t xml:space="preserve">Notes</w:t>
            </w:r>
          </w:p>
        </w:tc>
      </w:tr>
      <w:tr>
        <w:tc>
          <w:tcPr/>
          <w:p>
            <w:pPr>
              <w:pStyle w:val="Compact"/>
            </w:pPr>
            <w:r>
              <w:t xml:space="preserve">Naive</w:t>
            </w:r>
          </w:p>
        </w:tc>
        <w:tc>
          <w:tcPr/>
          <w:p>
            <w:pPr>
              <w:pStyle w:val="Compact"/>
            </w:pPr>
            <w:r>
              <w:t xml:space="preserve">Baseline PS for</w:t>
            </w:r>
            <w:r>
              <w:t xml:space="preserve"> </w:t>
            </w:r>
            <w:r>
              <w:t xml:space="preserve">“PVI by month 6”</w:t>
            </w:r>
          </w:p>
        </w:tc>
        <w:tc>
          <w:tcPr/>
          <w:p>
            <w:pPr>
              <w:pStyle w:val="Compact"/>
            </w:pPr>
            <w:r>
              <w:t xml:space="preserve">Follow-up starts at month 0 for both groups, so immortal time is present</w:t>
            </w:r>
          </w:p>
        </w:tc>
      </w:tr>
      <w:tr>
        <w:tc>
          <w:tcPr/>
          <w:p>
            <w:pPr>
              <w:pStyle w:val="Compact"/>
            </w:pPr>
            <w:r>
              <w:t xml:space="preserve">Landmark (D13)</w:t>
            </w:r>
          </w:p>
        </w:tc>
        <w:tc>
          <w:tcPr/>
          <w:p>
            <w:pPr>
              <w:pStyle w:val="Compact"/>
            </w:pPr>
            <w:r>
              <w:t xml:space="preserve">PS for</w:t>
            </w:r>
            <w:r>
              <w:t xml:space="preserve"> </w:t>
            </w:r>
            <w:r>
              <w:t xml:space="preserve">“PVI in months 0–5”</w:t>
            </w:r>
            <w:r>
              <w:t xml:space="preserve"> </w:t>
            </w:r>
            <w:r>
              <w:t xml:space="preserve">among patients at risk at month 6, using covariates up to month 6</w:t>
            </w:r>
          </w:p>
        </w:tc>
        <w:tc>
          <w:tcPr/>
          <w:p>
            <w:pPr>
              <w:pStyle w:val="Compact"/>
            </w:pPr>
            <w:r>
              <w:t xml:space="preserve">Outcome counted through month 60</w:t>
            </w:r>
          </w:p>
        </w:tc>
      </w:tr>
      <w:tr>
        <w:tc>
          <w:tcPr/>
          <w:p>
            <w:pPr>
              <w:pStyle w:val="Compact"/>
            </w:pPr>
            <w:r>
              <w:t xml:space="preserve">Sequential trials (D14)</w:t>
            </w:r>
          </w:p>
        </w:tc>
        <w:tc>
          <w:tcPr/>
          <w:p>
            <w:pPr>
              <w:pStyle w:val="Compact"/>
            </w:pPr>
            <w:r>
              <w:t xml:space="preserve">A PS for treatment at each trial baseline m = 0–5</w:t>
            </w:r>
          </w:p>
        </w:tc>
        <w:tc>
          <w:tcPr/>
          <w:p>
            <w:pPr>
              <w:pStyle w:val="Compact"/>
            </w:pPr>
            <w:r>
              <w:t xml:space="preserve">Person-trials are stacked. ITT is primary; per-protocol (with IPCW for deviation) is in the supplement</w:t>
            </w:r>
          </w:p>
        </w:tc>
      </w:tr>
      <w:tr>
        <w:tc>
          <w:tcPr/>
          <w:p>
            <w:pPr>
              <w:pStyle w:val="Compact"/>
            </w:pPr>
            <w:r>
              <w:t xml:space="preserve">CCW-B1, CCW-B2</w:t>
            </w:r>
          </w:p>
        </w:tc>
        <w:tc>
          <w:tcPr/>
          <w:p>
            <w:pPr>
              <w:pStyle w:val="Compact"/>
            </w:pPr>
            <w:r>
              <w:t xml:space="preserve">Clones are artificially censored at deviation, with IPCW from the PVI-hazard model</w:t>
            </w:r>
          </w:p>
        </w:tc>
        <w:tc>
          <w:tcPr/>
          <w:p>
            <w:pPr>
              <w:pStyle w:val="Compact"/>
            </w:pPr>
            <w:r>
              <w:t xml:space="preserve">A clones untreated at month 5 are censored at the end of the window</w:t>
            </w:r>
          </w:p>
        </w:tc>
      </w:tr>
      <w:tr>
        <w:tc>
          <w:tcPr/>
          <w:p>
            <w:pPr>
              <w:pStyle w:val="Compact"/>
            </w:pPr>
            <w:r>
              <w:t xml:space="preserve">Realistic and ideal RCT</w:t>
            </w:r>
          </w:p>
        </w:tc>
        <w:tc>
          <w:tcPr/>
          <w:p>
            <w:pPr>
              <w:pStyle w:val="Compact"/>
            </w:pPr>
            <w:r>
              <w:t xml:space="preserve">None</w:t>
            </w:r>
          </w:p>
        </w:tc>
        <w:tc>
          <w:tcPr/>
          <w:p>
            <w:pPr>
              <w:pStyle w:val="Compact"/>
            </w:pPr>
            <w:r>
              <w:t xml:space="preserve">ITT by assigned arm; naive per-protocol by treatment received</w:t>
            </w:r>
          </w:p>
        </w:tc>
      </w:tr>
    </w:tbl>
    <w:p>
      <w:pPr>
        <w:pStyle w:val="FirstParagraph"/>
      </w:pPr>
      <w:r>
        <w:rPr>
          <w:b/>
          <w:bCs/>
        </w:rPr>
        <w:t xml:space="preserve">Physician variants (D15), crossed with every observational method.</w:t>
      </w:r>
      <w:r>
        <w:t xml:space="preserve"> </w:t>
      </w:r>
      <w:r>
        <w:t xml:space="preserve">The physician enters through the</w:t>
      </w:r>
      <w:r>
        <w:t xml:space="preserve"> </w:t>
      </w:r>
      <w:r>
        <w:rPr>
          <w:b/>
          <w:bCs/>
        </w:rPr>
        <w:t xml:space="preserve">weight models</w:t>
      </w:r>
      <w:r>
        <w:t xml:space="preserve">, because that is where confounding is controlled.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Variant</w:t>
            </w:r>
          </w:p>
        </w:tc>
        <w:tc>
          <w:tcPr/>
          <w:p>
            <w:pPr>
              <w:pStyle w:val="Compact"/>
            </w:pPr>
            <w:r>
              <w:rPr>
                <w:b/>
                <w:bCs/>
              </w:rPr>
              <w:t xml:space="preserve">Implementation</w:t>
            </w:r>
          </w:p>
        </w:tc>
      </w:tr>
      <w:tr>
        <w:tc>
          <w:tcPr/>
          <w:p>
            <w:pPr>
              <w:pStyle w:val="Compact"/>
            </w:pPr>
            <w:r>
              <w:t xml:space="preserve">V1 Ignore</w:t>
            </w:r>
          </w:p>
        </w:tc>
        <w:tc>
          <w:tcPr/>
          <w:p>
            <w:pPr>
              <w:pStyle w:val="Compact"/>
            </w:pPr>
            <w:r>
              <w:t xml:space="preserve">No physician terms; model-based SE</w:t>
            </w:r>
          </w:p>
        </w:tc>
      </w:tr>
      <w:tr>
        <w:tc>
          <w:tcPr/>
          <w:p>
            <w:pPr>
              <w:pStyle w:val="Compact"/>
            </w:pPr>
            <w:r>
              <w:t xml:space="preserve">V2 Cluster-robust</w:t>
            </w:r>
          </w:p>
        </w:tc>
        <w:tc>
          <w:tcPr/>
          <w:p>
            <w:pPr>
              <w:pStyle w:val="Compact"/>
            </w:pPr>
            <w:r>
              <w:t xml:space="preserve">As V1, with the sandwich SE clustered on the physician</w:t>
            </w:r>
          </w:p>
        </w:tc>
      </w:tr>
      <w:tr>
        <w:tc>
          <w:tcPr/>
          <w:p>
            <w:pPr>
              <w:pStyle w:val="Compact"/>
            </w:pPr>
            <w:r>
              <w:t xml:space="preserve">V3 Random intercept</w:t>
            </w:r>
          </w:p>
        </w:tc>
        <w:tc>
          <w:tcPr/>
          <w:p>
            <w:pPr>
              <w:pStyle w:val="Compact"/>
            </w:pPr>
            <w:r>
              <w:t xml:space="preserve">Physician random intercept in the weight models (</w:t>
            </w:r>
            <w:r>
              <w:rPr>
                <w:rStyle w:val="VerbatimChar"/>
              </w:rPr>
              <w:t xml:space="preserve">glmmTMB</w:t>
            </w:r>
            <w:r>
              <w:t xml:space="preserve">/</w:t>
            </w:r>
            <w:r>
              <w:rPr>
                <w:rStyle w:val="VerbatimChar"/>
              </w:rPr>
              <w:t xml:space="preserve">lme4</w:t>
            </w:r>
            <w:r>
              <w:t xml:space="preserve">); cluster-robust SE</w:t>
            </w:r>
          </w:p>
        </w:tc>
      </w:tr>
      <w:tr>
        <w:tc>
          <w:tcPr/>
          <w:p>
            <w:pPr>
              <w:pStyle w:val="Compact"/>
            </w:pPr>
            <w:r>
              <w:t xml:space="preserve">V4 Within-physician</w:t>
            </w:r>
          </w:p>
        </w:tc>
        <w:tc>
          <w:tcPr/>
          <w:p>
            <w:pPr>
              <w:pStyle w:val="Compact"/>
            </w:pPr>
            <w:r>
              <w:t xml:space="preserve">Physician fixed effects in the weight models. Physicians with no variation in early PVI are dropped, and the change to the estimand that this causes is reported. Mundlak (physician means) is the fallback if FE is too slow. Cluster-robust SE</w:t>
            </w:r>
          </w:p>
        </w:tc>
      </w:tr>
      <w:tr>
        <w:tc>
          <w:tcPr/>
          <w:p>
            <w:pPr>
              <w:pStyle w:val="Compact"/>
            </w:pPr>
            <w:r>
              <w:t xml:space="preserve">V5 Preference IV (supplement)</w:t>
            </w:r>
          </w:p>
        </w:tc>
        <w:tc>
          <w:tcPr/>
          <w:p>
            <w:pPr>
              <w:pStyle w:val="Compact"/>
            </w:pPr>
            <w:r>
              <w:t xml:space="preserve">Instrument = the physician’s early-PVI rate among the physician’s</w:t>
            </w:r>
            <w:r>
              <w:t xml:space="preserve"> </w:t>
            </w:r>
            <w:r>
              <w:rPr>
                <w:i/>
                <w:iCs/>
              </w:rPr>
              <w:t xml:space="preserve">other</w:t>
            </w:r>
            <w:r>
              <w:t xml:space="preserve"> </w:t>
            </w:r>
            <w:r>
              <w:t xml:space="preserve">patients; two-stage residual inclusion</w:t>
            </w:r>
          </w:p>
        </w:tc>
      </w:tr>
    </w:tbl>
    <w:p>
      <w:pPr>
        <w:pStyle w:val="FirstParagraph"/>
      </w:pPr>
      <w:r>
        <w:rPr>
          <w:b/>
          <w:bCs/>
        </w:rPr>
        <w:t xml:space="preserve">Negative controls (D32).</w:t>
      </w:r>
      <w:r>
        <w:t xml:space="preserve"> </w:t>
      </w:r>
      <w:r>
        <w:t xml:space="preserve">NCO-1 and NCO-2 replace MALE as the outcome in every method × variant. The NCE replaces early PVI as the exposure in the CCW and landmark designs. The NCE models adjust for early-PVI status (D36). Without that adjustment, the path NCE ← style → PVI → MALE would make the NCE</w:t>
      </w:r>
      <w:r>
        <w:t xml:space="preserve"> </w:t>
      </w:r>
      <w:r>
        <w:t xml:space="preserve">“detect”</w:t>
      </w:r>
      <w:r>
        <w:t xml:space="preserve"> </w:t>
      </w:r>
      <w:r>
        <w:t xml:space="preserve">a real effect of PVI. The unadjusted NCE analysis is in the supplement.</w:t>
      </w:r>
    </w:p>
    <w:p>
      <w:pPr>
        <w:pStyle w:val="Heading1"/>
      </w:pPr>
      <w:bookmarkStart w:id="24" w:name="_18b7a7f5933f8596cfe9783576bf7d93e47e88b"/>
      <w:r>
        <w:t xml:space="preserve">8. Simulated RCTs (D18)</w:t>
      </w:r>
      <w:bookmarkEnd w:id="24"/>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rPr>
              <w:t xml:space="preserve">Realistic RCT</w:t>
            </w:r>
          </w:p>
        </w:tc>
        <w:tc>
          <w:tcPr/>
          <w:p>
            <w:pPr>
              <w:pStyle w:val="Compact"/>
            </w:pPr>
            <w:r>
              <w:rPr>
                <w:b/>
                <w:bCs/>
              </w:rPr>
              <w:t xml:space="preserve">Ideal pragmatic RCT</w:t>
            </w:r>
          </w:p>
        </w:tc>
      </w:tr>
      <w:tr>
        <w:tc>
          <w:tcPr/>
          <w:p>
            <w:pPr>
              <w:pStyle w:val="Compact"/>
            </w:pPr>
            <w:r>
              <w:t xml:space="preserve">Physicians</w:t>
            </w:r>
          </w:p>
        </w:tc>
        <w:tc>
          <w:tcPr/>
          <w:p>
            <w:pPr>
              <w:pStyle w:val="Compact"/>
            </w:pPr>
            <w:r>
              <w:t xml:space="preserve">Hospital-based (OBL = 0), top third of skill, bottom half of style</w:t>
            </w:r>
          </w:p>
        </w:tc>
        <w:tc>
          <w:tcPr/>
          <w:p>
            <w:pPr>
              <w:pStyle w:val="Compact"/>
            </w:pPr>
            <w:r>
              <w:t xml:space="preserve">All physicians</w:t>
            </w:r>
          </w:p>
        </w:tc>
      </w:tr>
      <w:tr>
        <w:tc>
          <w:tcPr/>
          <w:p>
            <w:pPr>
              <w:pStyle w:val="Compact"/>
            </w:pPr>
            <w:r>
              <w:t xml:space="preserve">Patients</w:t>
            </w:r>
          </w:p>
        </w:tc>
        <w:tc>
          <w:tcPr/>
          <w:p>
            <w:pPr>
              <w:pStyle w:val="Compact"/>
            </w:pPr>
            <w:r>
              <w:t xml:space="preserve">Eligible patients of those physicians; a constant 30% consent</w:t>
            </w:r>
          </w:p>
        </w:tc>
        <w:tc>
          <w:tcPr/>
          <w:p>
            <w:pPr>
              <w:pStyle w:val="Compact"/>
            </w:pPr>
            <w:r>
              <w:t xml:space="preserve">All eligible patients</w:t>
            </w:r>
          </w:p>
        </w:tc>
      </w:tr>
      <w:tr>
        <w:tc>
          <w:tcPr/>
          <w:p>
            <w:pPr>
              <w:pStyle w:val="Compact"/>
            </w:pPr>
            <w:r>
              <w:t xml:space="preserve">n</w:t>
            </w:r>
          </w:p>
        </w:tc>
        <w:tc>
          <w:tcPr/>
          <w:p>
            <w:pPr>
              <w:pStyle w:val="Compact"/>
            </w:pPr>
            <w:r>
              <w:t xml:space="preserve">240 (120 per arm)</w:t>
            </w:r>
          </w:p>
        </w:tc>
        <w:tc>
          <w:tcPr/>
          <w:p>
            <w:pPr>
              <w:pStyle w:val="Compact"/>
            </w:pPr>
            <w:r>
              <w:t xml:space="preserve">50,000</w:t>
            </w:r>
          </w:p>
        </w:tc>
      </w:tr>
      <w:tr>
        <w:tc>
          <w:tcPr/>
          <w:p>
            <w:pPr>
              <w:pStyle w:val="Compact"/>
            </w:pPr>
            <w:r>
              <w:t xml:space="preserve">Arm A</w:t>
            </w:r>
          </w:p>
        </w:tc>
        <w:tc>
          <w:tcPr/>
          <w:p>
            <w:pPr>
              <w:pStyle w:val="Compact"/>
            </w:pPr>
            <w:r>
              <w:t xml:space="preserve">PVI at the next scheduled month in 0–2. Refusal 10%</w:t>
            </w:r>
          </w:p>
        </w:tc>
        <w:tc>
          <w:tcPr/>
          <w:p>
            <w:pPr>
              <w:pStyle w:val="Compact"/>
            </w:pPr>
            <w:r>
              <w:t xml:space="preserve">Same</w:t>
            </w:r>
          </w:p>
        </w:tc>
      </w:tr>
      <w:tr>
        <w:tc>
          <w:tcPr/>
          <w:p>
            <w:pPr>
              <w:pStyle w:val="Compact"/>
            </w:pPr>
            <w:r>
              <w:t xml:space="preserve">Arm B</w:t>
            </w:r>
          </w:p>
        </w:tc>
        <w:tc>
          <w:tcPr/>
          <w:p>
            <w:pPr>
              <w:pStyle w:val="Compact"/>
            </w:pPr>
            <w:r>
              <w:t xml:space="preserve">No PVI in months 0–5 unless severity crosses the</w:t>
            </w:r>
            <w:r>
              <w:t xml:space="preserve"> </w:t>
            </w:r>
            <w:r>
              <w:t xml:space="preserve">“lifestyle-limiting”</w:t>
            </w:r>
            <w:r>
              <w:t xml:space="preserve"> </w:t>
            </w:r>
            <w:r>
              <w:t xml:space="preserve">threshold (crossover generated by the DGP); usual care afterwards</w:t>
            </w:r>
          </w:p>
        </w:tc>
        <w:tc>
          <w:tcPr/>
          <w:p>
            <w:pPr>
              <w:pStyle w:val="Compact"/>
            </w:pPr>
            <w:r>
              <w:t xml:space="preserve">Same</w:t>
            </w:r>
          </w:p>
        </w:tc>
      </w:tr>
      <w:tr>
        <w:tc>
          <w:tcPr/>
          <w:p>
            <w:pPr>
              <w:pStyle w:val="Compact"/>
            </w:pPr>
            <w:r>
              <w:t xml:space="preserve">Analyses</w:t>
            </w:r>
          </w:p>
        </w:tc>
        <w:tc>
          <w:tcPr/>
          <w:p>
            <w:pPr>
              <w:pStyle w:val="Compact"/>
            </w:pPr>
            <w:r>
              <w:t xml:space="preserve">ITT (unadjusted cumulative incidence) and naive as-treated</w:t>
            </w:r>
          </w:p>
        </w:tc>
        <w:tc>
          <w:tcPr/>
          <w:p>
            <w:pPr>
              <w:pStyle w:val="Compact"/>
            </w:pPr>
            <w:r>
              <w:t xml:space="preserve">Same</w:t>
            </w:r>
          </w:p>
        </w:tc>
      </w:tr>
    </w:tbl>
    <w:p>
      <w:pPr>
        <w:pStyle w:val="FirstParagraph"/>
      </w:pPr>
      <w:r>
        <w:t xml:space="preserve">Running replicates of the 240-patient trial also gives its power and CI width, which is the</w:t>
      </w:r>
      <w:r>
        <w:t xml:space="preserve"> </w:t>
      </w:r>
      <w:r>
        <w:t xml:space="preserve">“small trial”</w:t>
      </w:r>
      <w:r>
        <w:t xml:space="preserve"> </w:t>
      </w:r>
      <w:r>
        <w:t xml:space="preserve">result.</w:t>
      </w:r>
    </w:p>
    <w:p>
      <w:pPr>
        <w:pStyle w:val="Heading1"/>
      </w:pPr>
      <w:bookmarkStart w:id="25" w:name="_58da8f9afa792cd4cfa2217d9e28209e1b54c6d"/>
      <w:r>
        <w:t xml:space="preserve">9. Performance measures and simulation size (D27–D29)</w:t>
      </w:r>
      <w:bookmarkEnd w:id="25"/>
    </w:p>
    <w:p>
      <w:pPr>
        <w:pStyle w:val="FirstParagraph"/>
      </w:pPr>
      <w:r>
        <w:rPr>
          <w:b/>
          <w:bCs/>
        </w:rPr>
        <w:t xml:space="preserve">Notation.</w:t>
      </w:r>
      <w:r>
        <w:t xml:space="preserve"> </w:t>
      </w:r>
      <w:r>
        <w:t xml:space="preserve">For method m with estimate θ̂_m, its own estimand θ_m, and the clinically relevant estimand 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Measure</w:t>
            </w:r>
          </w:p>
        </w:tc>
        <w:tc>
          <w:tcPr/>
          <w:p>
            <w:pPr>
              <w:pStyle w:val="Compact"/>
            </w:pPr>
            <w:r>
              <w:rPr>
                <w:b/>
                <w:bCs/>
              </w:rPr>
              <w:t xml:space="preserve">Definition</w:t>
            </w:r>
          </w:p>
        </w:tc>
      </w:tr>
      <w:tr>
        <w:tc>
          <w:tcPr/>
          <w:p>
            <w:pPr>
              <w:pStyle w:val="Compact"/>
            </w:pPr>
            <w:r>
              <w:t xml:space="preserve">Estimation bias</w:t>
            </w:r>
          </w:p>
        </w:tc>
        <w:tc>
          <w:tcPr/>
          <w:p>
            <w:pPr>
              <w:pStyle w:val="Compact"/>
            </w:pPr>
            <w:r>
              <w:t xml:space="preserve">E[θ̂_m] − θ_m</w:t>
            </w:r>
          </w:p>
        </w:tc>
      </w:tr>
      <w:tr>
        <w:tc>
          <w:tcPr/>
          <w:p>
            <w:pPr>
              <w:pStyle w:val="Compact"/>
            </w:pPr>
            <w:r>
              <w:t xml:space="preserve">Question gap</w:t>
            </w:r>
          </w:p>
        </w:tc>
        <w:tc>
          <w:tcPr/>
          <w:p>
            <w:pPr>
              <w:pStyle w:val="Compact"/>
            </w:pPr>
            <w:r>
              <w:t xml:space="preserve">θ_m − θ*</w:t>
            </w:r>
          </w:p>
        </w:tc>
      </w:tr>
      <w:tr>
        <w:tc>
          <w:tcPr/>
          <w:p>
            <w:pPr>
              <w:pStyle w:val="Compact"/>
            </w:pPr>
            <w:r>
              <w:t xml:space="preserve">Total error</w:t>
            </w:r>
          </w:p>
        </w:tc>
        <w:tc>
          <w:tcPr/>
          <w:p>
            <w:pPr>
              <w:pStyle w:val="Compact"/>
            </w:pPr>
            <w:r>
              <w:t xml:space="preserve">E[θ̂_m] − θ* (the sum of the two above)</w:t>
            </w:r>
          </w:p>
        </w:tc>
      </w:tr>
      <w:tr>
        <w:tc>
          <w:tcPr/>
          <w:p>
            <w:pPr>
              <w:pStyle w:val="Compact"/>
            </w:pPr>
            <w:r>
              <w:t xml:space="preserve">Empirical SE</w:t>
            </w:r>
          </w:p>
        </w:tc>
        <w:tc>
          <w:tcPr/>
          <w:p>
            <w:pPr>
              <w:pStyle w:val="Compact"/>
            </w:pPr>
            <w:r>
              <w:t xml:space="preserve">SD of θ̂_m across replicates</w:t>
            </w:r>
          </w:p>
        </w:tc>
      </w:tr>
      <w:tr>
        <w:tc>
          <w:tcPr/>
          <w:p>
            <w:pPr>
              <w:pStyle w:val="Compact"/>
            </w:pPr>
            <w:r>
              <w:t xml:space="preserve">Model SE</w:t>
            </w:r>
          </w:p>
        </w:tc>
        <w:tc>
          <w:tcPr/>
          <w:p>
            <w:pPr>
              <w:pStyle w:val="Compact"/>
            </w:pPr>
            <w:r>
              <w:t xml:space="preserve">Mean of the estimated SEs</w:t>
            </w:r>
          </w:p>
        </w:tc>
      </w:tr>
      <w:tr>
        <w:tc>
          <w:tcPr/>
          <w:p>
            <w:pPr>
              <w:pStyle w:val="Compact"/>
            </w:pPr>
            <w:r>
              <w:t xml:space="preserve">Coverage</w:t>
            </w:r>
          </w:p>
        </w:tc>
        <w:tc>
          <w:tcPr/>
          <w:p>
            <w:pPr>
              <w:pStyle w:val="Compact"/>
            </w:pPr>
            <w:r>
              <w:t xml:space="preserve">Coverage of θ_m by the 95% CI</w:t>
            </w:r>
          </w:p>
        </w:tc>
      </w:tr>
      <w:tr>
        <w:tc>
          <w:tcPr/>
          <w:p>
            <w:pPr>
              <w:pStyle w:val="Compact"/>
            </w:pPr>
            <w:r>
              <w:t xml:space="preserve">RMSE</w:t>
            </w:r>
          </w:p>
        </w:tc>
        <w:tc>
          <w:tcPr/>
          <w:p>
            <w:pPr>
              <w:pStyle w:val="Compact"/>
            </w:pPr>
            <w:r>
              <w:t xml:space="preserve">Against θ_m and against θ*</w:t>
            </w:r>
          </w:p>
        </w:tc>
      </w:tr>
      <w:tr>
        <w:tc>
          <w:tcPr/>
          <w:p>
            <w:pPr>
              <w:pStyle w:val="Compact"/>
            </w:pPr>
            <w:r>
              <w:rPr>
                <w:b/>
                <w:bCs/>
              </w:rPr>
              <w:t xml:space="preserve">False-alarm rate</w:t>
            </w:r>
            <w:r>
              <w:t xml:space="preserve"> </w:t>
            </w:r>
            <w:r>
              <w:t xml:space="preserve">(headline)</w:t>
            </w:r>
          </w:p>
        </w:tc>
        <w:tc>
          <w:tcPr/>
          <w:p>
            <w:pPr>
              <w:pStyle w:val="Compact"/>
            </w:pPr>
            <w:r>
              <w:t xml:space="preserve">In the null scenario, the proportion of replicates whose 95% CI excludes 0</w:t>
            </w:r>
            <w:r>
              <w:t xml:space="preserve"> </w:t>
            </w:r>
            <w:r>
              <w:rPr>
                <w:b/>
                <w:bCs/>
              </w:rPr>
              <w:t xml:space="preserve">for the disease composite (CLTI or major amputation)</w:t>
            </w:r>
            <w:r>
              <w:t xml:space="preserve">, whose true effect is exactly 0 (D34)</w:t>
            </w:r>
          </w:p>
        </w:tc>
      </w:tr>
    </w:tbl>
    <w:p>
      <w:pPr>
        <w:pStyle w:val="FirstParagraph"/>
      </w:pPr>
      <w:r>
        <w:t xml:space="preserve">MCSE is reported for every measure (Morris 2019).</w:t>
      </w:r>
    </w:p>
    <w:p>
      <w:pPr>
        <w:pStyle w:val="Compact"/>
        <w:numPr>
          <w:ilvl w:val="0"/>
          <w:numId w:val="1006"/>
        </w:numPr>
      </w:pPr>
      <w:r>
        <w:rPr>
          <w:b/>
          <w:bCs/>
        </w:rPr>
        <w:t xml:space="preserve">Variance (D28).</w:t>
      </w:r>
      <w:r>
        <w:t xml:space="preserve"> </w:t>
      </w:r>
      <w:r>
        <w:t xml:space="preserve">A sandwich SE clustered on the physician, with the delta method for the cumulative-incidence RD. Validated by a physician-cluster bootstrap (200 resamples) on 100 replicates in W0 and WR.</w:t>
      </w:r>
    </w:p>
    <w:p>
      <w:pPr>
        <w:pStyle w:val="Compact"/>
        <w:numPr>
          <w:ilvl w:val="0"/>
          <w:numId w:val="1006"/>
        </w:numPr>
      </w:pPr>
      <w:r>
        <w:rPr>
          <w:b/>
          <w:bCs/>
        </w:rPr>
        <w:t xml:space="preserve">Replicates (D29).</w:t>
      </w:r>
      <w:r>
        <w:t xml:space="preserve"> </w:t>
      </w:r>
      <w:r>
        <w:t xml:space="preserve">100 at draft scale, 500 at final. With 500 replicates, the MCSE of coverage is about 1% and the MCSE of bias is about 0.045 × empirical SE.</w:t>
      </w:r>
    </w:p>
    <w:p>
      <w:pPr>
        <w:pStyle w:val="Heading1"/>
      </w:pPr>
      <w:bookmarkStart w:id="26" w:name="_bc0fbae493f73ebe9886b904895fc566fc39600"/>
      <w:r>
        <w:t xml:space="preserve">10. Negative-control diagnostic analysis (Aim 3, D33)</w:t>
      </w:r>
      <w:bookmarkEnd w:id="26"/>
    </w:p>
    <w:p>
      <w:pPr>
        <w:pStyle w:val="FirstParagraph"/>
      </w:pPr>
      <w:r>
        <w:t xml:space="preserve">For each world × scenario × method × variant × replicate, record:</w:t>
      </w:r>
    </w:p>
    <w:p>
      <w:pPr>
        <w:pStyle w:val="Compact"/>
        <w:numPr>
          <w:ilvl w:val="0"/>
          <w:numId w:val="1007"/>
        </w:numPr>
      </w:pPr>
      <w:r>
        <w:rPr>
          <w:b/>
          <w:bCs/>
        </w:rPr>
        <w:t xml:space="preserve">Flag</w:t>
      </w:r>
      <w:r>
        <w:t xml:space="preserve">: the negative control’s 95% CI excludes 0.</w:t>
      </w:r>
    </w:p>
    <w:p>
      <w:pPr>
        <w:pStyle w:val="Compact"/>
        <w:numPr>
          <w:ilvl w:val="0"/>
          <w:numId w:val="1007"/>
        </w:numPr>
      </w:pPr>
      <w:r>
        <w:rPr>
          <w:b/>
          <w:bCs/>
        </w:rPr>
        <w:t xml:space="preserve">Truly biased</w:t>
      </w:r>
      <w:r>
        <w:t xml:space="preserve">: |θ̂_m − θ_m| &gt; 1 percentage point. Also |θ̄_m − θ_m| &gt; 1 pp at the cell level.</w:t>
      </w:r>
    </w:p>
    <w:p>
      <w:pPr>
        <w:pStyle w:val="FirstParagraph"/>
      </w:pPr>
      <w:r>
        <w:rPr>
          <w:b/>
          <w:bCs/>
        </w:rPr>
        <w:t xml:space="preserve">Reported:</w:t>
      </w:r>
      <w:r>
        <w:t xml:space="preserve"> </w:t>
      </w:r>
      <w:r>
        <w:t xml:space="preserve">- the sensitivity and specificity of each negative control, and of</w:t>
      </w:r>
      <w:r>
        <w:t xml:space="preserve"> </w:t>
      </w:r>
      <w:r>
        <w:t xml:space="preserve">“any negative control”</w:t>
      </w:r>
      <w:r>
        <w:t xml:space="preserve">, for detecting bias;</w:t>
      </w:r>
      <w:r>
        <w:t xml:space="preserve"> </w:t>
      </w:r>
      <w:r>
        <w:t xml:space="preserve">- the distribution of |bias| among replicates with a clean negative control (</w:t>
      </w:r>
      <w:r>
        <w:t xml:space="preserve">“how much can hide”</w:t>
      </w:r>
      <w:r>
        <w:t xml:space="preserve">);</w:t>
      </w:r>
      <w:r>
        <w:t xml:space="preserve"> </w:t>
      </w:r>
      <w:r>
        <w:t xml:space="preserve">- in the supplement, each negative control’s false-positive rate.</w:t>
      </w:r>
    </w:p>
    <w:p>
      <w:pPr>
        <w:pStyle w:val="Heading1"/>
      </w:pPr>
      <w:bookmarkStart w:id="27" w:name="_af1a61d99d621d4f931f1d9536e1c7d8f68a859"/>
      <w:r>
        <w:t xml:space="preserve">11. Mock tables</w:t>
      </w:r>
      <w:bookmarkEnd w:id="27"/>
    </w:p>
    <w:p>
      <w:pPr>
        <w:pStyle w:val="FirstParagraph"/>
        <w:numPr>
          <w:ilvl w:val="0"/>
          <w:numId w:val="1008"/>
        </w:numPr>
      </w:pPr>
      <w:r>
        <w:rPr>
          <w:b/>
          <w:bCs/>
        </w:rPr>
        <w:t xml:space="preserve">Table 1 (introduction). Randomized trials of revascularization for claudication.</w:t>
      </w:r>
      <w:r>
        <w:t xml:space="preserve"> </w:t>
      </w:r>
      <w:r>
        <w:t xml:space="preserve">Trial, year, n (planned vs actual), comparison, primary endpoint, follow-up, crossover, whether the trial stopped early, whether there was a hard limb outcome. See Appendix A.</w:t>
      </w:r>
    </w:p>
    <w:p>
      <w:pPr>
        <w:pStyle w:val="FirstParagraph"/>
        <w:numPr>
          <w:ilvl w:val="0"/>
          <w:numId w:val="1008"/>
        </w:numPr>
      </w:pPr>
      <w:r>
        <w:rPr>
          <w:b/>
          <w:bCs/>
        </w:rPr>
        <w:t xml:space="preserve">Table 2. What each method answers (W0, all three scenarios).</w:t>
      </w:r>
      <w:r>
        <w:t xml:space="preserve"> </w:t>
      </w:r>
      <w:r>
        <w:t xml:space="preserve">Rows: methods. Columns: plain-language estimand, own truth θ_m, question gap, estimation bias, coverage.</w:t>
      </w:r>
    </w:p>
    <w:p>
      <w:pPr>
        <w:pStyle w:val="FirstParagraph"/>
        <w:numPr>
          <w:ilvl w:val="0"/>
          <w:numId w:val="1008"/>
        </w:numPr>
      </w:pPr>
      <w:r>
        <w:rPr>
          <w:b/>
          <w:bCs/>
        </w:rPr>
        <w:t xml:space="preserve">Table 3. Bias by threat.</w:t>
      </w:r>
      <w:r>
        <w:t xml:space="preserve"> </w:t>
      </w:r>
      <w:r>
        <w:t xml:space="preserve">Rows: method × physician variant. Columns: W0–W5, WR. Cells: estimation bias (MCSE), shaded by |bias| &gt; 1 pp.</w:t>
      </w:r>
    </w:p>
    <w:p>
      <w:pPr>
        <w:pStyle w:val="FirstParagraph"/>
        <w:numPr>
          <w:ilvl w:val="0"/>
          <w:numId w:val="1008"/>
        </w:numPr>
      </w:pPr>
      <w:r>
        <w:rPr>
          <w:b/>
          <w:bCs/>
        </w:rPr>
        <w:t xml:space="preserve">Table 4. Negative controls as bias detectors.</w:t>
      </w:r>
      <w:r>
        <w:t xml:space="preserve"> </w:t>
      </w:r>
      <w:r>
        <w:t xml:space="preserve">Rows: NCO-1, NCO-2, NCE,</w:t>
      </w:r>
      <w:r>
        <w:t xml:space="preserve"> </w:t>
      </w:r>
      <w:r>
        <w:t xml:space="preserve">“any”</w:t>
      </w:r>
      <w:r>
        <w:t xml:space="preserve">. Columns: sensitivity, specificity, and the median |bias| when the negative control is clean, by world.</w:t>
      </w:r>
    </w:p>
    <w:p>
      <w:pPr>
        <w:pStyle w:val="Heading1"/>
      </w:pPr>
      <w:bookmarkStart w:id="28" w:name="_070d24b1a60f9f858cbab3351bd7a1676e52be3"/>
      <w:r>
        <w:t xml:space="preserve">12. Mock figures</w:t>
      </w:r>
      <w:bookmarkEnd w:id="28"/>
    </w:p>
    <w:p>
      <w:pPr>
        <w:pStyle w:val="FirstParagraph"/>
        <w:numPr>
          <w:ilvl w:val="0"/>
          <w:numId w:val="1009"/>
        </w:numPr>
      </w:pPr>
      <w:r>
        <w:rPr>
          <w:b/>
          <w:bCs/>
        </w:rPr>
        <w:t xml:space="preserve">Fig 1. Estimand ladder (D30).</w:t>
      </w:r>
      <w:r>
        <w:t xml:space="preserve"> </w:t>
      </w:r>
      <w:r>
        <w:t xml:space="preserve">One row per method. Each row shows the method’s own truth (hollow dot), its mean estimate and 95% interval across replicates (filled dot, coloured by physician variant), and the clinically relevant truth (vertical line). Panels: W0, W1–W5, WR. Two versions: null and harm.</w:t>
      </w:r>
    </w:p>
    <w:p>
      <w:pPr>
        <w:pStyle w:val="FirstParagraph"/>
        <w:numPr>
          <w:ilvl w:val="0"/>
          <w:numId w:val="1009"/>
        </w:numPr>
      </w:pPr>
      <w:r>
        <w:rPr>
          <w:b/>
          <w:bCs/>
        </w:rPr>
        <w:t xml:space="preserve">Fig 2. False-alarm rate in the null scenario</w:t>
      </w:r>
      <w:r>
        <w:t xml:space="preserve"> </w:t>
      </w:r>
      <w:r>
        <w:t xml:space="preserve">(disease composite). Heat map of method × variant (rows) against world (columns). The 5% nominal level is marked. An inset shows the MALE estimate in the same null world:</w:t>
      </w:r>
      <w:r>
        <w:t xml:space="preserve"> </w:t>
      </w:r>
      <w:r>
        <w:t xml:space="preserve">“harm”</w:t>
      </w:r>
      <w:r>
        <w:t xml:space="preserve"> </w:t>
      </w:r>
      <w:r>
        <w:t xml:space="preserve">produced purely by how the outcome is defined.</w:t>
      </w:r>
    </w:p>
    <w:p>
      <w:pPr>
        <w:pStyle w:val="FirstParagraph"/>
        <w:numPr>
          <w:ilvl w:val="0"/>
          <w:numId w:val="1009"/>
        </w:numPr>
      </w:pPr>
      <w:r>
        <w:rPr>
          <w:b/>
          <w:bCs/>
        </w:rPr>
        <w:t xml:space="preserve">Fig 3. What a clean negative control is worth.</w:t>
      </w:r>
      <w:r>
        <w:t xml:space="preserve"> </w:t>
      </w:r>
      <w:r>
        <w:t xml:space="preserve">For each method, |bias| plotted for flagged and clean replicates, by world.</w:t>
      </w:r>
    </w:p>
    <w:p>
      <w:pPr>
        <w:pStyle w:val="FirstParagraph"/>
        <w:numPr>
          <w:ilvl w:val="0"/>
          <w:numId w:val="1009"/>
        </w:numPr>
      </w:pPr>
      <w:r>
        <w:rPr>
          <w:b/>
          <w:bCs/>
        </w:rPr>
        <w:t xml:space="preserve">Fig S. The DGP as a DAG</w:t>
      </w:r>
      <w:r>
        <w:t xml:space="preserve">, and cumulative-incidence curves under A, B1 and B2 for each scenario.</w:t>
      </w:r>
    </w:p>
    <w:p>
      <w:pPr>
        <w:pStyle w:val="Heading1"/>
      </w:pPr>
      <w:bookmarkStart w:id="29" w:name="_10435386798df3372d66883df18d80afd478215"/>
      <w:r>
        <w:t xml:space="preserve">13. Position relative to the literature</w:t>
      </w:r>
      <w:bookmarkEnd w:id="2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Prior work</w:t>
            </w:r>
          </w:p>
        </w:tc>
        <w:tc>
          <w:tcPr/>
          <w:p>
            <w:pPr>
              <w:pStyle w:val="Compact"/>
            </w:pPr>
            <w:r>
              <w:rPr>
                <w:b/>
                <w:bCs/>
              </w:rPr>
              <w:t xml:space="preserve">What it showed</w:t>
            </w:r>
          </w:p>
        </w:tc>
        <w:tc>
          <w:tcPr/>
          <w:p>
            <w:pPr>
              <w:pStyle w:val="Compact"/>
            </w:pPr>
            <w:r>
              <w:rPr>
                <w:b/>
                <w:bCs/>
              </w:rPr>
              <w:t xml:space="preserve">What this paper adds</w:t>
            </w:r>
          </w:p>
        </w:tc>
      </w:tr>
      <w:tr>
        <w:tc>
          <w:tcPr/>
          <w:p>
            <w:pPr>
              <w:pStyle w:val="Compact"/>
            </w:pPr>
            <w:r>
              <w:t xml:space="preserve">CLEVER, ERASE, IRONIC, SUPER; Fakhry 2018</w:t>
            </w:r>
          </w:p>
        </w:tc>
        <w:tc>
          <w:tcPr/>
          <w:p>
            <w:pPr>
              <w:pStyle w:val="Compact"/>
            </w:pPr>
            <w:r>
              <w:t xml:space="preserve">Small trials of walking and QoL, with crossover</w:t>
            </w:r>
          </w:p>
        </w:tc>
        <w:tc>
          <w:tcPr/>
          <w:p>
            <w:pPr>
              <w:pStyle w:val="Compact"/>
            </w:pPr>
            <w:r>
              <w:t xml:space="preserve">The trial that could realistically be run, simulated and compared with the question surgeons ask</w:t>
            </w:r>
          </w:p>
        </w:tc>
      </w:tr>
      <w:tr>
        <w:tc>
          <w:tcPr/>
          <w:p>
            <w:pPr>
              <w:pStyle w:val="Compact"/>
            </w:pPr>
            <w:r>
              <w:t xml:space="preserve">Sorber 2023; Hicks 2020; Dun 2025/2026</w:t>
            </w:r>
          </w:p>
        </w:tc>
        <w:tc>
          <w:tcPr/>
          <w:p>
            <w:pPr>
              <w:pStyle w:val="Compact"/>
            </w:pPr>
            <w:r>
              <w:t xml:space="preserve">Medicare associations; physician outliers; CCW emulation</w:t>
            </w:r>
          </w:p>
        </w:tc>
        <w:tc>
          <w:tcPr/>
          <w:p>
            <w:pPr>
              <w:pStyle w:val="Compact"/>
            </w:pPr>
            <w:r>
              <w:t xml:space="preserve">What those designs actually estimated, and which threats remain</w:t>
            </w:r>
          </w:p>
        </w:tc>
      </w:tr>
      <w:tr>
        <w:tc>
          <w:tcPr/>
          <w:p>
            <w:pPr>
              <w:pStyle w:val="Compact"/>
            </w:pPr>
            <w:r>
              <w:t xml:space="preserve">Duchesneau 2022 CEBP</w:t>
            </w:r>
          </w:p>
        </w:tc>
        <w:tc>
          <w:tcPr/>
          <w:p>
            <w:pPr>
              <w:pStyle w:val="Compact"/>
            </w:pPr>
            <w:r>
              <w:t xml:space="preserve">Landmark vs CCW against a plasmode truth, in cancer surgery</w:t>
            </w:r>
          </w:p>
        </w:tc>
        <w:tc>
          <w:tcPr/>
          <w:p>
            <w:pPr>
              <w:pStyle w:val="Compact"/>
            </w:pPr>
            <w:r>
              <w:t xml:space="preserve">Adds sequential trials, RCTs and the physician level; estimand-specific truths</w:t>
            </w:r>
          </w:p>
        </w:tc>
      </w:tr>
      <w:tr>
        <w:tc>
          <w:tcPr/>
          <w:p>
            <w:pPr>
              <w:pStyle w:val="Compact"/>
            </w:pPr>
            <w:r>
              <w:t xml:space="preserve">Keogh 2023; Hernán 2008/2018; Wanis 2024</w:t>
            </w:r>
          </w:p>
        </w:tc>
        <w:tc>
          <w:tcPr/>
          <w:p>
            <w:pPr>
              <w:pStyle w:val="Compact"/>
            </w:pPr>
            <w:r>
              <w:t xml:space="preserve">Sequential trials, CCW, grace periods in theory and simulation</w:t>
            </w:r>
          </w:p>
        </w:tc>
        <w:tc>
          <w:tcPr/>
          <w:p>
            <w:pPr>
              <w:pStyle w:val="Compact"/>
            </w:pPr>
            <w:r>
              <w:t xml:space="preserve">The difference between deferral and abstention shown in a surgical question</w:t>
            </w:r>
          </w:p>
        </w:tc>
      </w:tr>
      <w:tr>
        <w:tc>
          <w:tcPr/>
          <w:p>
            <w:pPr>
              <w:pStyle w:val="Compact"/>
            </w:pPr>
            <w:r>
              <w:t xml:space="preserve">Li 2020 SMMR; Cafri 2020 Biom J</w:t>
            </w:r>
          </w:p>
        </w:tc>
        <w:tc>
          <w:tcPr/>
          <w:p>
            <w:pPr>
              <w:pStyle w:val="Compact"/>
            </w:pPr>
            <w:r>
              <w:t xml:space="preserve">Unmeasured cluster confounding; within-surgeon matching</w:t>
            </w:r>
          </w:p>
        </w:tc>
        <w:tc>
          <w:tcPr/>
          <w:p>
            <w:pPr>
              <w:pStyle w:val="Compact"/>
            </w:pPr>
            <w:r>
              <w:t xml:space="preserve">Inside TTE designs, with the surgeon acting on treatment, effect and outcome</w:t>
            </w:r>
          </w:p>
        </w:tc>
      </w:tr>
      <w:tr>
        <w:tc>
          <w:tcPr/>
          <w:p>
            <w:pPr>
              <w:pStyle w:val="Compact"/>
            </w:pPr>
            <w:r>
              <w:t xml:space="preserve">Myers 2011; Brookhart 2006</w:t>
            </w:r>
          </w:p>
        </w:tc>
        <w:tc>
          <w:tcPr/>
          <w:p>
            <w:pPr>
              <w:pStyle w:val="Compact"/>
            </w:pPr>
            <w:r>
              <w:t xml:space="preserve">Z-bias; preference IV</w:t>
            </w:r>
          </w:p>
        </w:tc>
        <w:tc>
          <w:tcPr/>
          <w:p>
            <w:pPr>
              <w:pStyle w:val="Compact"/>
            </w:pPr>
            <w:r>
              <w:t xml:space="preserve">Shown for physician style in claims</w:t>
            </w:r>
          </w:p>
        </w:tc>
      </w:tr>
      <w:tr>
        <w:tc>
          <w:tcPr/>
          <w:p>
            <w:pPr>
              <w:pStyle w:val="Compact"/>
            </w:pPr>
            <w:r>
              <w:t xml:space="preserve">Paper 1 (tte-papers)</w:t>
            </w:r>
          </w:p>
        </w:tc>
        <w:tc>
          <w:tcPr/>
          <w:p>
            <w:pPr>
              <w:pStyle w:val="Compact"/>
            </w:pPr>
            <w:r>
              <w:t xml:space="preserve">Design matters more than the adjustment method (ICU)</w:t>
            </w:r>
          </w:p>
        </w:tc>
        <w:tc>
          <w:tcPr/>
          <w:p>
            <w:pPr>
              <w:pStyle w:val="Compact"/>
            </w:pPr>
            <w:r>
              <w:t xml:space="preserve">A surgical setting; estimand gaps; negative controls as diagnostics</w:t>
            </w:r>
          </w:p>
        </w:tc>
      </w:tr>
    </w:tbl>
    <w:p>
      <w:pPr>
        <w:pStyle w:val="Heading1"/>
      </w:pPr>
      <w:bookmarkStart w:id="30" w:name="_87b55622b4b4f8a39d4fd22d77265700fa82119"/>
      <w:r>
        <w:t xml:space="preserve">14. Out of scope</w:t>
      </w:r>
      <w:bookmarkEnd w:id="30"/>
    </w:p>
    <w:p>
      <w:pPr>
        <w:pStyle w:val="Compact"/>
        <w:numPr>
          <w:ilvl w:val="0"/>
          <w:numId w:val="1010"/>
        </w:numPr>
      </w:pPr>
      <w:r>
        <w:t xml:space="preserve">PS matching and doubly robust estimators (Paper 1 territory).</w:t>
      </w:r>
    </w:p>
    <w:p>
      <w:pPr>
        <w:pStyle w:val="Compact"/>
        <w:numPr>
          <w:ilvl w:val="0"/>
          <w:numId w:val="1010"/>
        </w:numPr>
      </w:pPr>
      <w:r>
        <w:t xml:space="preserve">Data-quality problems (Paper 2 territory): coding error beyond factor 3, missing data, disenrollment.</w:t>
      </w:r>
    </w:p>
    <w:p>
      <w:pPr>
        <w:pStyle w:val="Compact"/>
        <w:numPr>
          <w:ilvl w:val="0"/>
          <w:numId w:val="1010"/>
        </w:numPr>
      </w:pPr>
      <w:r>
        <w:t xml:space="preserve">Patient–physician sorting, where sicker patients see particular physicians. Patients are assigned to physicians at random (D37); sorting is a possible single sensitivity world.</w:t>
      </w:r>
    </w:p>
    <w:p>
      <w:pPr>
        <w:pStyle w:val="Compact"/>
        <w:numPr>
          <w:ilvl w:val="0"/>
          <w:numId w:val="1010"/>
        </w:numPr>
      </w:pPr>
      <w:r>
        <w:t xml:space="preserve">Cost-effectiveness.</w:t>
      </w:r>
    </w:p>
    <w:p>
      <w:pPr>
        <w:pStyle w:val="Heading1"/>
      </w:pPr>
      <w:bookmarkStart w:id="31" w:name="_practicalities"/>
      <w:r>
        <w:t xml:space="preserve">15. Practicalities</w:t>
      </w:r>
      <w:bookmarkEnd w:id="31"/>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Item</w:t>
            </w:r>
          </w:p>
        </w:tc>
        <w:tc>
          <w:tcPr/>
          <w:p>
            <w:pPr>
              <w:pStyle w:val="Compact"/>
            </w:pPr>
            <w:r>
              <w:rPr>
                <w:b/>
                <w:bCs/>
              </w:rPr>
              <w:t xml:space="preserve">Plan</w:t>
            </w:r>
          </w:p>
        </w:tc>
      </w:tr>
      <w:tr>
        <w:tc>
          <w:tcPr/>
          <w:p>
            <w:pPr>
              <w:pStyle w:val="Compact"/>
            </w:pPr>
            <w:r>
              <w:t xml:space="preserve">Software</w:t>
            </w:r>
          </w:p>
        </w:tc>
        <w:tc>
          <w:tcPr/>
          <w:p>
            <w:pPr>
              <w:pStyle w:val="Compact"/>
            </w:pPr>
            <w:r>
              <w:t xml:space="preserve">R (4.6.1). A new package</w:t>
            </w:r>
            <w:r>
              <w:t xml:space="preserve"> </w:t>
            </w:r>
            <w:r>
              <w:rPr>
                <w:rStyle w:val="VerbatimChar"/>
              </w:rPr>
              <w:t xml:space="preserve">pvisim/</w:t>
            </w:r>
            <w:r>
              <w:t xml:space="preserve"> </w:t>
            </w:r>
            <w:r>
              <w:t xml:space="preserve">in this repo with parameters in YAML, a simulator, truths, designs, estimators and metrics (D12). Uses</w:t>
            </w:r>
            <w:r>
              <w:t xml:space="preserve"> </w:t>
            </w:r>
            <w:r>
              <w:rPr>
                <w:rStyle w:val="VerbatimChar"/>
              </w:rPr>
              <w:t xml:space="preserve">fastglm</w:t>
            </w:r>
            <w:r>
              <w:t xml:space="preserve">/</w:t>
            </w:r>
            <w:r>
              <w:rPr>
                <w:rStyle w:val="VerbatimChar"/>
              </w:rPr>
              <w:t xml:space="preserve">speedglm</w:t>
            </w:r>
            <w:r>
              <w:t xml:space="preserve"> </w:t>
            </w:r>
            <w:r>
              <w:t xml:space="preserve">for pooled logistic,</w:t>
            </w:r>
            <w:r>
              <w:t xml:space="preserve"> </w:t>
            </w:r>
            <w:r>
              <w:rPr>
                <w:rStyle w:val="VerbatimChar"/>
              </w:rPr>
              <w:t xml:space="preserve">sandwich</w:t>
            </w:r>
            <w:r>
              <w:t xml:space="preserve">,</w:t>
            </w:r>
            <w:r>
              <w:t xml:space="preserve"> </w:t>
            </w:r>
            <w:r>
              <w:rPr>
                <w:rStyle w:val="VerbatimChar"/>
              </w:rPr>
              <w:t xml:space="preserve">glmmTMB</w:t>
            </w:r>
            <w:r>
              <w:t xml:space="preserve">,</w:t>
            </w:r>
            <w:r>
              <w:t xml:space="preserve"> </w:t>
            </w:r>
            <w:r>
              <w:rPr>
                <w:rStyle w:val="VerbatimChar"/>
              </w:rPr>
              <w:t xml:space="preserve">data.table</w:t>
            </w:r>
            <w:r>
              <w:t xml:space="preserve">,</w:t>
            </w:r>
            <w:r>
              <w:t xml:space="preserve"> </w:t>
            </w:r>
            <w:r>
              <w:rPr>
                <w:rStyle w:val="VerbatimChar"/>
              </w:rPr>
              <w:t xml:space="preserve">arrow</w:t>
            </w:r>
            <w:r>
              <w:t xml:space="preserve">,</w:t>
            </w:r>
            <w:r>
              <w:t xml:space="preserve"> </w:t>
            </w:r>
            <w:r>
              <w:rPr>
                <w:rStyle w:val="VerbatimChar"/>
              </w:rPr>
              <w:t xml:space="preserve">furrr</w:t>
            </w:r>
            <w:r>
              <w:t xml:space="preserve">. Quarto reports; renv</w:t>
            </w:r>
          </w:p>
        </w:tc>
      </w:tr>
      <w:tr>
        <w:tc>
          <w:tcPr/>
          <w:p>
            <w:pPr>
              <w:pStyle w:val="Compact"/>
            </w:pPr>
            <w:r>
              <w:t xml:space="preserve">Validation</w:t>
            </w:r>
          </w:p>
        </w:tc>
        <w:tc>
          <w:tcPr/>
          <w:p>
            <w:pPr>
              <w:pStyle w:val="Compact"/>
            </w:pPr>
            <w:r>
              <w:t xml:space="preserve">Before any runs: (a) every method is unbiased for its own estimand in W0 at n = 10⁶ (within MCSE); (b) a closed-form check of the CCW truth in a special case with no time-varying confounding; (c) negative-control truths are exactly 0 by construction (tests)</w:t>
            </w:r>
          </w:p>
        </w:tc>
      </w:tr>
      <w:tr>
        <w:tc>
          <w:tcPr/>
          <w:p>
            <w:pPr>
              <w:pStyle w:val="Compact"/>
            </w:pPr>
            <w:r>
              <w:t xml:space="preserve">Compute</w:t>
            </w:r>
          </w:p>
        </w:tc>
        <w:tc>
          <w:tcPr/>
          <w:p>
            <w:pPr>
              <w:pStyle w:val="Compact"/>
            </w:pPr>
            <w:r>
              <w:t xml:space="preserve">7 worlds (+ W1 at ρ = 0) × 3 scenarios × 500 replicates. Each replicate fits about 7 methods × 4 variants × (MALE + 3 negative controls). V3/V4 on person-month data are the bottleneck. Profile at the draft stage and switch to Mundlak if needed</w:t>
            </w:r>
          </w:p>
        </w:tc>
      </w:tr>
      <w:tr>
        <w:tc>
          <w:tcPr/>
          <w:p>
            <w:pPr>
              <w:pStyle w:val="Compact"/>
            </w:pPr>
            <w:r>
              <w:t xml:space="preserve">Sequence</w:t>
            </w:r>
          </w:p>
        </w:tc>
        <w:tc>
          <w:tcPr/>
          <w:p>
            <w:pPr>
              <w:pStyle w:val="Compact"/>
            </w:pPr>
            <w:r>
              <w:t xml:space="preserve">1) parameters YAML → 2) simulator + tests → 3) calibration → 4) truths → 5) estimators, validated at large n → 6) draft runs (100 replicates) → 7) report → 8) final runs → 9) manuscript</w:t>
            </w:r>
          </w:p>
        </w:tc>
      </w:tr>
      <w:tr>
        <w:tc>
          <w:tcPr/>
          <w:p>
            <w:pPr>
              <w:pStyle w:val="Compact"/>
            </w:pPr>
            <w:r>
              <w:t xml:space="preserve">Reporting</w:t>
            </w:r>
          </w:p>
        </w:tc>
        <w:tc>
          <w:tcPr/>
          <w:p>
            <w:pPr>
              <w:pStyle w:val="Compact"/>
            </w:pPr>
            <w:r>
              <w:t xml:space="preserve">ADEMP (Morris 2019); TARGET 2025 items for the emulated trial; code and seeds public</w:t>
            </w:r>
          </w:p>
        </w:tc>
      </w:tr>
      <w:tr>
        <w:tc>
          <w:tcPr/>
          <w:p>
            <w:pPr>
              <w:pStyle w:val="Compact"/>
            </w:pPr>
            <w:r>
              <w:t xml:space="preserve">Target journal</w:t>
            </w:r>
          </w:p>
        </w:tc>
        <w:tc>
          <w:tcPr/>
          <w:p>
            <w:pPr>
              <w:pStyle w:val="Compact"/>
            </w:pPr>
            <w:r>
              <w:t xml:space="preserve">JAMA Surgery (Original Investigation). The mathematics and the full grid go in the supplement</w:t>
            </w:r>
          </w:p>
        </w:tc>
      </w:tr>
    </w:tbl>
    <w:p>
      <w:pPr>
        <w:pStyle w:val="Heading1"/>
      </w:pPr>
      <w:bookmarkStart w:id="32" w:name="_c730bca5b773531939348403ba120777b52d4c9"/>
      <w:r>
        <w:t xml:space="preserve">16. Decisions resolved after the first draft (D34–D37)</w:t>
      </w:r>
      <w:bookmarkEnd w:id="32"/>
    </w:p>
    <w:p>
      <w:pPr>
        <w:pStyle w:val="Compact"/>
        <w:numPr>
          <w:ilvl w:val="0"/>
          <w:numId w:val="1011"/>
        </w:numPr>
      </w:pPr>
      <w:r>
        <w:rPr>
          <w:b/>
          <w:bCs/>
        </w:rPr>
        <w:t xml:space="preserve">Null (D34).</w:t>
      </w:r>
      <w:r>
        <w:t xml:space="preserve"> </w:t>
      </w:r>
      <w:r>
        <w:t xml:space="preserve">Sharp disease null. The headline false-alarm rate is reported for the disease composite (CLTI or major amputation). MALE in the null world shows</w:t>
      </w:r>
      <w:r>
        <w:t xml:space="preserve"> </w:t>
      </w:r>
      <w:r>
        <w:t xml:space="preserve">“harm”</w:t>
      </w:r>
      <w:r>
        <w:t xml:space="preserve"> </w:t>
      </w:r>
      <w:r>
        <w:t xml:space="preserve">that comes purely from the outcome definition.</w:t>
      </w:r>
    </w:p>
    <w:p>
      <w:pPr>
        <w:pStyle w:val="Compact"/>
        <w:numPr>
          <w:ilvl w:val="0"/>
          <w:numId w:val="1011"/>
        </w:numPr>
      </w:pPr>
      <w:r>
        <w:rPr>
          <w:b/>
          <w:bCs/>
        </w:rPr>
        <w:t xml:space="preserve">Strength of each threat when switched on (D35).</w:t>
      </w:r>
      <w:r>
        <w:t xml:space="preserve"> </w:t>
      </w:r>
      <w:r>
        <w:t xml:space="preserve">Use the empirical quantity where one exists (physician-style spread from the Hicks 2020 outlier distribution; deferred PVI from Sorber’s late-PVI rates; early-PVI rate). Where none exists (skill, coding intensity), set the threat so that on its own it moves the naive or landmark estimate by about 2–4 percentage points in the harm scenario.</w:t>
      </w:r>
    </w:p>
    <w:p>
      <w:pPr>
        <w:pStyle w:val="Compact"/>
        <w:numPr>
          <w:ilvl w:val="0"/>
          <w:numId w:val="1011"/>
        </w:numPr>
      </w:pPr>
      <w:r>
        <w:rPr>
          <w:b/>
          <w:bCs/>
        </w:rPr>
        <w:t xml:space="preserve">NCE (D36).</w:t>
      </w:r>
      <w:r>
        <w:t xml:space="preserve"> </w:t>
      </w:r>
      <w:r>
        <w:t xml:space="preserve">The NCE analysis is adjusted for early-PVI status. The unadjusted version goes in the supplement as a warning.</w:t>
      </w:r>
    </w:p>
    <w:p>
      <w:pPr>
        <w:pStyle w:val="Compact"/>
        <w:numPr>
          <w:ilvl w:val="0"/>
          <w:numId w:val="1011"/>
        </w:numPr>
      </w:pPr>
      <w:r>
        <w:rPr>
          <w:b/>
          <w:bCs/>
        </w:rPr>
        <w:t xml:space="preserve">Patient–physician sorting (D37).</w:t>
      </w:r>
      <w:r>
        <w:t xml:space="preserve"> </w:t>
      </w:r>
      <w:r>
        <w:t xml:space="preserve">Not in the main grid. One sensitivity world, if time allows.</w:t>
      </w:r>
    </w:p>
    <w:p>
      <w:pPr>
        <w:pStyle w:val="FirstParagraph"/>
      </w:pPr>
      <w:r>
        <w:t xml:space="preserve">Still to do: replace the interim mortality target (§5.4) with the 5-year mortality of the authors’ own Medicare cohort.</w:t>
      </w:r>
    </w:p>
    <w:p>
      <w:r>
        <w:pict>
          <v:rect style="width:0;height:1.5pt" o:hralign="center" o:hrstd="t" o:hr="t"/>
        </w:pict>
      </w:r>
    </w:p>
    <w:p>
      <w:pPr>
        <w:pStyle w:val="Heading1"/>
      </w:pPr>
      <w:bookmarkStart w:id="33" w:name="_14c09d4e7ecb80d1f3595bb61f31478a6498377"/>
      <w:r>
        <w:t xml:space="preserve">Appendix A. Draft Table 1: randomized trials of revascularization for intermittent claudication</w:t>
      </w:r>
      <w:bookmarkEnd w:id="33"/>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rPr>
                <w:b/>
                <w:bCs/>
              </w:rPr>
              <w:t xml:space="preserve">Trial</w:t>
            </w:r>
          </w:p>
        </w:tc>
        <w:tc>
          <w:tcPr/>
          <w:p>
            <w:pPr>
              <w:pStyle w:val="Compact"/>
            </w:pPr>
            <w:r>
              <w:rPr>
                <w:b/>
                <w:bCs/>
              </w:rPr>
              <w:t xml:space="preserve">n (planned → randomized)</w:t>
            </w:r>
          </w:p>
        </w:tc>
        <w:tc>
          <w:tcPr/>
          <w:p>
            <w:pPr>
              <w:pStyle w:val="Compact"/>
            </w:pPr>
            <w:r>
              <w:rPr>
                <w:b/>
                <w:bCs/>
              </w:rPr>
              <w:t xml:space="preserve">Comparison</w:t>
            </w:r>
          </w:p>
        </w:tc>
        <w:tc>
          <w:tcPr/>
          <w:p>
            <w:pPr>
              <w:pStyle w:val="Compact"/>
            </w:pPr>
            <w:r>
              <w:rPr>
                <w:b/>
                <w:bCs/>
              </w:rPr>
              <w:t xml:space="preserve">Primary endpoint</w:t>
            </w:r>
          </w:p>
        </w:tc>
        <w:tc>
          <w:tcPr/>
          <w:p>
            <w:pPr>
              <w:pStyle w:val="Compact"/>
            </w:pPr>
            <w:r>
              <w:rPr>
                <w:b/>
                <w:bCs/>
              </w:rPr>
              <w:t xml:space="preserve">Longest follow-up</w:t>
            </w:r>
          </w:p>
        </w:tc>
        <w:tc>
          <w:tcPr/>
          <w:p>
            <w:pPr>
              <w:pStyle w:val="Compact"/>
            </w:pPr>
            <w:r>
              <w:rPr>
                <w:b/>
                <w:bCs/>
              </w:rPr>
              <w:t xml:space="preserve">Crossover / adherence</w:t>
            </w:r>
          </w:p>
        </w:tc>
        <w:tc>
          <w:tcPr/>
          <w:p>
            <w:pPr>
              <w:pStyle w:val="Compact"/>
            </w:pPr>
            <w:r>
              <w:rPr>
                <w:b/>
                <w:bCs/>
              </w:rPr>
              <w:t xml:space="preserve">Stopped early / under-recruited</w:t>
            </w:r>
          </w:p>
        </w:tc>
        <w:tc>
          <w:tcPr/>
          <w:p>
            <w:pPr>
              <w:pStyle w:val="Compact"/>
            </w:pPr>
            <w:r>
              <w:rPr>
                <w:b/>
                <w:bCs/>
              </w:rPr>
              <w:t xml:space="preserve">Hard limb outcome?</w:t>
            </w:r>
          </w:p>
        </w:tc>
      </w:tr>
      <w:tr>
        <w:tc>
          <w:tcPr/>
          <w:p>
            <w:pPr>
              <w:pStyle w:val="Compact"/>
            </w:pPr>
            <w:r>
              <w:t xml:space="preserve">CLEVER (Murphy 2012, 2015)</w:t>
            </w:r>
          </w:p>
        </w:tc>
        <w:tc>
          <w:tcPr/>
          <w:p>
            <w:pPr>
              <w:pStyle w:val="Compact"/>
            </w:pPr>
            <w:r>
              <w:t xml:space="preserve">252 → 111</w:t>
            </w:r>
          </w:p>
        </w:tc>
        <w:tc>
          <w:tcPr/>
          <w:p>
            <w:pPr>
              <w:pStyle w:val="Compact"/>
            </w:pPr>
            <w:r>
              <w:t xml:space="preserve">OMC vs OMC+SE vs OMC+stent (aortoiliac)</w:t>
            </w:r>
          </w:p>
        </w:tc>
        <w:tc>
          <w:tcPr/>
          <w:p>
            <w:pPr>
              <w:pStyle w:val="Compact"/>
            </w:pPr>
            <w:r>
              <w:t xml:space="preserve">Peak walking time, 6 months</w:t>
            </w:r>
          </w:p>
        </w:tc>
        <w:tc>
          <w:tcPr/>
          <w:p>
            <w:pPr>
              <w:pStyle w:val="Compact"/>
            </w:pPr>
            <w:r>
              <w:t xml:space="preserve">18 months (79 completed)</w:t>
            </w:r>
          </w:p>
        </w:tc>
        <w:tc>
          <w:tcPr/>
          <w:p>
            <w:pPr>
              <w:pStyle w:val="Compact"/>
            </w:pPr>
            <w:r>
              <w:t xml:space="preserve">—</w:t>
            </w:r>
          </w:p>
        </w:tc>
        <w:tc>
          <w:tcPr/>
          <w:p>
            <w:pPr>
              <w:pStyle w:val="Compact"/>
            </w:pPr>
            <w:r>
              <w:t xml:space="preserve">Under-recruited (reduced to 3 arms)</w:t>
            </w:r>
          </w:p>
        </w:tc>
        <w:tc>
          <w:tcPr/>
          <w:p>
            <w:pPr>
              <w:pStyle w:val="Compact"/>
            </w:pPr>
            <w:r>
              <w:t xml:space="preserve">No</w:t>
            </w:r>
          </w:p>
        </w:tc>
      </w:tr>
      <w:tr>
        <w:tc>
          <w:tcPr/>
          <w:p>
            <w:pPr>
              <w:pStyle w:val="Compact"/>
            </w:pPr>
            <w:r>
              <w:t xml:space="preserve">ERASE (Fakhry 2015; Klaphake 2022)</w:t>
            </w:r>
          </w:p>
        </w:tc>
        <w:tc>
          <w:tcPr/>
          <w:p>
            <w:pPr>
              <w:pStyle w:val="Compact"/>
            </w:pPr>
            <w:r>
              <w:t xml:space="preserve">212</w:t>
            </w:r>
          </w:p>
        </w:tc>
        <w:tc>
          <w:tcPr/>
          <w:p>
            <w:pPr>
              <w:pStyle w:val="Compact"/>
            </w:pPr>
            <w:r>
              <w:t xml:space="preserve">Endovascular + SET vs SET</w:t>
            </w:r>
          </w:p>
        </w:tc>
        <w:tc>
          <w:tcPr/>
          <w:p>
            <w:pPr>
              <w:pStyle w:val="Compact"/>
            </w:pPr>
            <w:r>
              <w:t xml:space="preserve">Maximum walking distance, 12 months</w:t>
            </w:r>
          </w:p>
        </w:tc>
        <w:tc>
          <w:tcPr/>
          <w:p>
            <w:pPr>
              <w:pStyle w:val="Compact"/>
            </w:pPr>
            <w:r>
              <w:t xml:space="preserve">~5.4 years (post hoc)</w:t>
            </w:r>
          </w:p>
        </w:tc>
        <w:tc>
          <w:tcPr/>
          <w:p>
            <w:pPr>
              <w:pStyle w:val="Compact"/>
            </w:pPr>
            <w:r>
              <w:t xml:space="preserve">SET arm: later revascularization HR 2.5</w:t>
            </w:r>
          </w:p>
        </w:tc>
        <w:tc>
          <w:tcPr/>
          <w:p>
            <w:pPr>
              <w:pStyle w:val="Compact"/>
            </w:pPr>
            <w:r>
              <w:t xml:space="preserve">No</w:t>
            </w:r>
          </w:p>
        </w:tc>
        <w:tc>
          <w:tcPr/>
          <w:p>
            <w:pPr>
              <w:pStyle w:val="Compact"/>
            </w:pPr>
            <w:r>
              <w:t xml:space="preserve">No (procedures reported)</w:t>
            </w:r>
          </w:p>
        </w:tc>
      </w:tr>
      <w:tr>
        <w:tc>
          <w:tcPr/>
          <w:p>
            <w:pPr>
              <w:pStyle w:val="Compact"/>
            </w:pPr>
            <w:r>
              <w:t xml:space="preserve">IRONIC (Nordanstig 2014; Djerf 2020)</w:t>
            </w:r>
          </w:p>
        </w:tc>
        <w:tc>
          <w:tcPr/>
          <w:p>
            <w:pPr>
              <w:pStyle w:val="Compact"/>
            </w:pPr>
            <w:r>
              <w:t xml:space="preserve">158</w:t>
            </w:r>
          </w:p>
        </w:tc>
        <w:tc>
          <w:tcPr/>
          <w:p>
            <w:pPr>
              <w:pStyle w:val="Compact"/>
            </w:pPr>
            <w:r>
              <w:t xml:space="preserve">Revascularization + BMT + exercise vs BMT + exercise</w:t>
            </w:r>
          </w:p>
        </w:tc>
        <w:tc>
          <w:tcPr/>
          <w:p>
            <w:pPr>
              <w:pStyle w:val="Compact"/>
            </w:pPr>
            <w:r>
              <w:t xml:space="preserve">SF-36, 1 year</w:t>
            </w:r>
          </w:p>
        </w:tc>
        <w:tc>
          <w:tcPr/>
          <w:p>
            <w:pPr>
              <w:pStyle w:val="Compact"/>
            </w:pPr>
            <w:r>
              <w:t xml:space="preserve">5 years (benefit lost)</w:t>
            </w:r>
          </w:p>
        </w:tc>
        <w:tc>
          <w:tcPr/>
          <w:p>
            <w:pPr>
              <w:pStyle w:val="Compact"/>
            </w:pPr>
            <w:r>
              <w:t xml:space="preserve">—</w:t>
            </w:r>
          </w:p>
        </w:tc>
        <w:tc>
          <w:tcPr/>
          <w:p>
            <w:pPr>
              <w:pStyle w:val="Compact"/>
            </w:pPr>
            <w:r>
              <w:t xml:space="preserve">Single centre</w:t>
            </w:r>
          </w:p>
        </w:tc>
        <w:tc>
          <w:tcPr/>
          <w:p>
            <w:pPr>
              <w:pStyle w:val="Compact"/>
            </w:pPr>
            <w:r>
              <w:t xml:space="preserve">No</w:t>
            </w:r>
          </w:p>
        </w:tc>
      </w:tr>
      <w:tr>
        <w:tc>
          <w:tcPr/>
          <w:p>
            <w:pPr>
              <w:pStyle w:val="Compact"/>
            </w:pPr>
            <w:r>
              <w:t xml:space="preserve">MIMIC (Greenhalgh 2008)</w:t>
            </w:r>
          </w:p>
        </w:tc>
        <w:tc>
          <w:tcPr/>
          <w:p>
            <w:pPr>
              <w:pStyle w:val="Compact"/>
            </w:pPr>
            <w:r>
              <w:t xml:space="preserve">93 + 34</w:t>
            </w:r>
          </w:p>
        </w:tc>
        <w:tc>
          <w:tcPr/>
          <w:p>
            <w:pPr>
              <w:pStyle w:val="Compact"/>
            </w:pPr>
            <w:r>
              <w:t xml:space="preserve">PTA added to SE + BMT</w:t>
            </w:r>
          </w:p>
        </w:tc>
        <w:tc>
          <w:tcPr/>
          <w:p>
            <w:pPr>
              <w:pStyle w:val="Compact"/>
            </w:pPr>
            <w:r>
              <w:t xml:space="preserve">Walking distance, 24 months</w:t>
            </w:r>
          </w:p>
        </w:tc>
        <w:tc>
          <w:tcPr/>
          <w:p>
            <w:pPr>
              <w:pStyle w:val="Compact"/>
            </w:pPr>
            <w:r>
              <w:t xml:space="preserve">24 months</w:t>
            </w:r>
          </w:p>
        </w:tc>
        <w:tc>
          <w:tcPr/>
          <w:p>
            <w:pPr>
              <w:pStyle w:val="Compact"/>
            </w:pPr>
            <w:r>
              <w:t xml:space="preserve">—</w:t>
            </w:r>
          </w:p>
        </w:tc>
        <w:tc>
          <w:tcPr/>
          <w:p>
            <w:pPr>
              <w:pStyle w:val="Compact"/>
            </w:pPr>
            <w:r>
              <w:t xml:space="preserve">Small</w:t>
            </w:r>
          </w:p>
        </w:tc>
        <w:tc>
          <w:tcPr/>
          <w:p>
            <w:pPr>
              <w:pStyle w:val="Compact"/>
            </w:pPr>
            <w:r>
              <w:t xml:space="preserve">No</w:t>
            </w:r>
          </w:p>
        </w:tc>
      </w:tr>
      <w:tr>
        <w:tc>
          <w:tcPr/>
          <w:p>
            <w:pPr>
              <w:pStyle w:val="Compact"/>
            </w:pPr>
            <w:r>
              <w:t xml:space="preserve">SUPER (Koelemay 2022)</w:t>
            </w:r>
          </w:p>
        </w:tc>
        <w:tc>
          <w:tcPr/>
          <w:p>
            <w:pPr>
              <w:pStyle w:val="Compact"/>
            </w:pPr>
            <w:r>
              <w:t xml:space="preserve">240</w:t>
            </w:r>
          </w:p>
        </w:tc>
        <w:tc>
          <w:tcPr/>
          <w:p>
            <w:pPr>
              <w:pStyle w:val="Compact"/>
            </w:pPr>
            <w:r>
              <w:t xml:space="preserve">SET vs endovascular (iliac)</w:t>
            </w:r>
          </w:p>
        </w:tc>
        <w:tc>
          <w:tcPr/>
          <w:p>
            <w:pPr>
              <w:pStyle w:val="Compact"/>
            </w:pPr>
            <w:r>
              <w:t xml:space="preserve">MWD + VascuQol, 1 year</w:t>
            </w:r>
          </w:p>
        </w:tc>
        <w:tc>
          <w:tcPr/>
          <w:p>
            <w:pPr>
              <w:pStyle w:val="Compact"/>
            </w:pPr>
            <w:r>
              <w:t xml:space="preserve">~5.5 years</w:t>
            </w:r>
          </w:p>
        </w:tc>
        <w:tc>
          <w:tcPr/>
          <w:p>
            <w:pPr>
              <w:pStyle w:val="Compact"/>
            </w:pPr>
            <w:r>
              <w:rPr>
                <w:b/>
                <w:bCs/>
              </w:rPr>
              <w:t xml:space="preserve">29% crossover by year 1</w:t>
            </w:r>
            <w:r>
              <w:t xml:space="preserve">; 50% SET compliance</w:t>
            </w:r>
          </w:p>
        </w:tc>
        <w:tc>
          <w:tcPr/>
          <w:p>
            <w:pPr>
              <w:pStyle w:val="Compact"/>
            </w:pPr>
            <w:r>
              <w:rPr>
                <w:b/>
                <w:bCs/>
              </w:rPr>
              <w:t xml:space="preserve">Stopped early</w:t>
            </w:r>
          </w:p>
        </w:tc>
        <w:tc>
          <w:tcPr/>
          <w:p>
            <w:pPr>
              <w:pStyle w:val="Compact"/>
            </w:pPr>
            <w:r>
              <w:t xml:space="preserve">No</w:t>
            </w:r>
          </w:p>
        </w:tc>
      </w:tr>
      <w:tr>
        <w:tc>
          <w:tcPr/>
          <w:p>
            <w:pPr>
              <w:pStyle w:val="Compact"/>
            </w:pPr>
            <w:r>
              <w:t xml:space="preserve">Mazari (2012, 2017)</w:t>
            </w:r>
          </w:p>
        </w:tc>
        <w:tc>
          <w:tcPr/>
          <w:p>
            <w:pPr>
              <w:pStyle w:val="Compact"/>
            </w:pPr>
            <w:r>
              <w:t xml:space="preserve">178</w:t>
            </w:r>
          </w:p>
        </w:tc>
        <w:tc>
          <w:tcPr/>
          <w:p>
            <w:pPr>
              <w:pStyle w:val="Compact"/>
            </w:pPr>
            <w:r>
              <w:t xml:space="preserve">PTA vs SEP vs both (fem-pop)</w:t>
            </w:r>
          </w:p>
        </w:tc>
        <w:tc>
          <w:tcPr/>
          <w:p>
            <w:pPr>
              <w:pStyle w:val="Compact"/>
            </w:pPr>
            <w:r>
              <w:t xml:space="preserve">Walking/QoL, 12 months</w:t>
            </w:r>
          </w:p>
        </w:tc>
        <w:tc>
          <w:tcPr/>
          <w:p>
            <w:pPr>
              <w:pStyle w:val="Compact"/>
            </w:pPr>
            <w:r>
              <w:t xml:space="preserve">5.2 years</w:t>
            </w:r>
          </w:p>
        </w:tc>
        <w:tc>
          <w:tcPr/>
          <w:p>
            <w:pPr>
              <w:pStyle w:val="Compact"/>
            </w:pPr>
            <w:r>
              <w:t xml:space="preserve">—</w:t>
            </w:r>
          </w:p>
        </w:tc>
        <w:tc>
          <w:tcPr/>
          <w:p>
            <w:pPr>
              <w:pStyle w:val="Compact"/>
            </w:pPr>
            <w:r>
              <w:t xml:space="preserve">—</w:t>
            </w:r>
          </w:p>
        </w:tc>
        <w:tc>
          <w:tcPr/>
          <w:p>
            <w:pPr>
              <w:pStyle w:val="Compact"/>
            </w:pPr>
            <w:r>
              <w:t xml:space="preserve">No (reinterventions reported)</w:t>
            </w:r>
          </w:p>
        </w:tc>
      </w:tr>
      <w:tr>
        <w:tc>
          <w:tcPr/>
          <w:p>
            <w:pPr>
              <w:pStyle w:val="Compact"/>
            </w:pPr>
            <w:r>
              <w:t xml:space="preserve">Spronk (2009)</w:t>
            </w:r>
          </w:p>
        </w:tc>
        <w:tc>
          <w:tcPr/>
          <w:p>
            <w:pPr>
              <w:pStyle w:val="Compact"/>
            </w:pPr>
            <w:r>
              <w:t xml:space="preserve">151</w:t>
            </w:r>
          </w:p>
        </w:tc>
        <w:tc>
          <w:tcPr/>
          <w:p>
            <w:pPr>
              <w:pStyle w:val="Compact"/>
            </w:pPr>
            <w:r>
              <w:t xml:space="preserve">Endovascular vs SET</w:t>
            </w:r>
          </w:p>
        </w:tc>
        <w:tc>
          <w:tcPr/>
          <w:p>
            <w:pPr>
              <w:pStyle w:val="Compact"/>
            </w:pPr>
            <w:r>
              <w:t xml:space="preserve">Rutherford, 6–12 months</w:t>
            </w:r>
          </w:p>
        </w:tc>
        <w:tc>
          <w:tcPr/>
          <w:p>
            <w:pPr>
              <w:pStyle w:val="Compact"/>
            </w:pPr>
            <w:r>
              <w:t xml:space="preserve">12 months</w:t>
            </w:r>
          </w:p>
        </w:tc>
        <w:tc>
          <w:tcPr/>
          <w:p>
            <w:pPr>
              <w:pStyle w:val="Compact"/>
            </w:pPr>
            <w:r>
              <w:t xml:space="preserve">—</w:t>
            </w:r>
          </w:p>
        </w:tc>
        <w:tc>
          <w:tcPr/>
          <w:p>
            <w:pPr>
              <w:pStyle w:val="Compact"/>
            </w:pPr>
            <w:r>
              <w:t xml:space="preserve">—</w:t>
            </w:r>
          </w:p>
        </w:tc>
        <w:tc>
          <w:tcPr/>
          <w:p>
            <w:pPr>
              <w:pStyle w:val="Compact"/>
            </w:pPr>
            <w:r>
              <w:t xml:space="preserve">No</w:t>
            </w:r>
          </w:p>
        </w:tc>
      </w:tr>
      <w:tr>
        <w:tc>
          <w:tcPr/>
          <w:p>
            <w:pPr>
              <w:pStyle w:val="Compact"/>
            </w:pPr>
            <w:r>
              <w:t xml:space="preserve">OBACT (Nylaende 2007)</w:t>
            </w:r>
          </w:p>
        </w:tc>
        <w:tc>
          <w:tcPr/>
          <w:p>
            <w:pPr>
              <w:pStyle w:val="Compact"/>
            </w:pPr>
            <w:r>
              <w:t xml:space="preserve">434 screened → 56</w:t>
            </w:r>
          </w:p>
        </w:tc>
        <w:tc>
          <w:tcPr/>
          <w:p>
            <w:pPr>
              <w:pStyle w:val="Compact"/>
            </w:pPr>
            <w:r>
              <w:t xml:space="preserve">OMT ± PTA</w:t>
            </w:r>
          </w:p>
        </w:tc>
        <w:tc>
          <w:tcPr/>
          <w:p>
            <w:pPr>
              <w:pStyle w:val="Compact"/>
            </w:pPr>
            <w:r>
              <w:t xml:space="preserve">QoL, ABI, walking, 2 years</w:t>
            </w:r>
          </w:p>
        </w:tc>
        <w:tc>
          <w:tcPr/>
          <w:p>
            <w:pPr>
              <w:pStyle w:val="Compact"/>
            </w:pPr>
            <w:r>
              <w:t xml:space="preserve">2 years</w:t>
            </w:r>
          </w:p>
        </w:tc>
        <w:tc>
          <w:tcPr/>
          <w:p>
            <w:pPr>
              <w:pStyle w:val="Compact"/>
            </w:pPr>
            <w:r>
              <w:t xml:space="preserve">—</w:t>
            </w:r>
          </w:p>
        </w:tc>
        <w:tc>
          <w:tcPr/>
          <w:p>
            <w:pPr>
              <w:pStyle w:val="Compact"/>
            </w:pPr>
            <w:r>
              <w:rPr>
                <w:b/>
                <w:bCs/>
              </w:rPr>
              <w:t xml:space="preserve">56 of 434 screened</w:t>
            </w:r>
          </w:p>
        </w:tc>
        <w:tc>
          <w:tcPr/>
          <w:p>
            <w:pPr>
              <w:pStyle w:val="Compact"/>
            </w:pPr>
            <w:r>
              <w:t xml:space="preserve">No</w:t>
            </w:r>
          </w:p>
        </w:tc>
      </w:tr>
    </w:tbl>
    <w:p>
      <w:pPr>
        <w:pStyle w:val="FirstParagraph"/>
      </w:pPr>
      <w:r>
        <w:rPr>
          <w:i/>
          <w:iCs/>
        </w:rPr>
        <w:t xml:space="preserve">Missing cells are to be filled from the full texts (crossover is not reported in several abstracts).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2026-10-27T11:01:05Z</dcterms:created>
  <dcterms:modified xsi:type="dcterms:W3CDTF">2026-10-27T11:01:05Z</dcterms:modified>
</cp:coreProperties>
</file>

<file path=docProps/custom.xml><?xml version="1.0" encoding="utf-8"?>
<Properties xmlns="http://schemas.openxmlformats.org/officeDocument/2006/custom-properties" xmlns:vt="http://schemas.openxmlformats.org/officeDocument/2006/docPropsVTypes"/>
</file>